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02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558"/>
        <w:gridCol w:w="2560"/>
        <w:gridCol w:w="2557"/>
        <w:gridCol w:w="2558"/>
      </w:tblGrid>
      <w:tr>
        <w:trPr>
          <w:trHeight w:val="1268" w:hRule="atLeast"/>
        </w:trPr>
        <w:tc>
          <w:tcPr>
            <w:tcW w:w="2558" w:type="dxa"/>
            <w:tcBorders/>
          </w:tcPr>
          <w:p>
            <w:pPr>
              <w:pStyle w:val="Corpodeltesto"/>
              <w:widowControl w:val="false"/>
              <w:suppressAutoHyphens w:val="true"/>
              <w:spacing w:lineRule="exact" w:line="320" w:before="0" w:after="0"/>
              <w:ind w:right="567" w:hanging="0"/>
              <w:jc w:val="left"/>
              <w:rPr>
                <w:sz w:val="22"/>
                <w:szCs w:val="22"/>
              </w:rPr>
            </w:pPr>
            <w:r>
              <w:rPr>
                <w:rFonts w:eastAsia="Calibri"/>
                <w:kern w:val="0"/>
                <w:sz w:val="22"/>
                <w:szCs w:val="22"/>
              </w:rPr>
              <w:drawing>
                <wp:anchor behindDoc="0" distT="0" distB="0" distL="0" distR="0" simplePos="0" locked="0" layoutInCell="1" allowOverlap="1" relativeHeight="5">
                  <wp:simplePos x="0" y="0"/>
                  <wp:positionH relativeFrom="column">
                    <wp:posOffset>266065</wp:posOffset>
                  </wp:positionH>
                  <wp:positionV relativeFrom="line">
                    <wp:posOffset>171450</wp:posOffset>
                  </wp:positionV>
                  <wp:extent cx="918210" cy="597535"/>
                  <wp:effectExtent l="0" t="0" r="0" b="0"/>
                  <wp:wrapSquare wrapText="bothSides"/>
                  <wp:docPr id="1" name="image4.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eg" descr=""/>
                          <pic:cNvPicPr>
                            <a:picLocks noChangeAspect="1" noChangeArrowheads="1"/>
                          </pic:cNvPicPr>
                        </pic:nvPicPr>
                        <pic:blipFill>
                          <a:blip r:embed="rId2"/>
                          <a:stretch>
                            <a:fillRect/>
                          </a:stretch>
                        </pic:blipFill>
                        <pic:spPr bwMode="auto">
                          <a:xfrm>
                            <a:off x="0" y="0"/>
                            <a:ext cx="918210" cy="597535"/>
                          </a:xfrm>
                          <a:prstGeom prst="rect">
                            <a:avLst/>
                          </a:prstGeom>
                        </pic:spPr>
                      </pic:pic>
                    </a:graphicData>
                  </a:graphic>
                </wp:anchor>
              </w:drawing>
            </w:r>
          </w:p>
        </w:tc>
        <w:tc>
          <w:tcPr>
            <w:tcW w:w="2560" w:type="dxa"/>
            <w:tcBorders/>
          </w:tcPr>
          <w:p>
            <w:pPr>
              <w:pStyle w:val="Corpodeltesto"/>
              <w:widowControl w:val="false"/>
              <w:suppressAutoHyphens w:val="true"/>
              <w:spacing w:lineRule="exact" w:line="320" w:before="0" w:after="0"/>
              <w:ind w:right="567" w:hanging="0"/>
              <w:jc w:val="left"/>
              <w:rPr>
                <w:sz w:val="22"/>
                <w:szCs w:val="22"/>
              </w:rPr>
            </w:pPr>
            <w:r>
              <w:rPr>
                <w:rFonts w:eastAsia="Calibri"/>
                <w:kern w:val="0"/>
                <w:sz w:val="22"/>
                <w:szCs w:val="22"/>
              </w:rPr>
              <w:drawing>
                <wp:anchor behindDoc="0" distT="0" distB="0" distL="114300" distR="114300" simplePos="0" locked="0" layoutInCell="1" allowOverlap="1" relativeHeight="10">
                  <wp:simplePos x="0" y="0"/>
                  <wp:positionH relativeFrom="column">
                    <wp:align>center</wp:align>
                  </wp:positionH>
                  <wp:positionV relativeFrom="paragraph">
                    <wp:posOffset>72390</wp:posOffset>
                  </wp:positionV>
                  <wp:extent cx="713105" cy="759460"/>
                  <wp:effectExtent l="0" t="0" r="0" b="0"/>
                  <wp:wrapSquare wrapText="bothSides"/>
                  <wp:docPr id="2" name="Immagin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3" descr=""/>
                          <pic:cNvPicPr>
                            <a:picLocks noChangeAspect="1" noChangeArrowheads="1"/>
                          </pic:cNvPicPr>
                        </pic:nvPicPr>
                        <pic:blipFill>
                          <a:blip r:embed="rId3"/>
                          <a:stretch>
                            <a:fillRect/>
                          </a:stretch>
                        </pic:blipFill>
                        <pic:spPr bwMode="auto">
                          <a:xfrm>
                            <a:off x="0" y="0"/>
                            <a:ext cx="713105" cy="759460"/>
                          </a:xfrm>
                          <a:prstGeom prst="rect">
                            <a:avLst/>
                          </a:prstGeom>
                        </pic:spPr>
                      </pic:pic>
                    </a:graphicData>
                  </a:graphic>
                </wp:anchor>
              </w:drawing>
            </w:r>
          </w:p>
        </w:tc>
        <w:tc>
          <w:tcPr>
            <w:tcW w:w="2557" w:type="dxa"/>
            <w:tcBorders/>
          </w:tcPr>
          <w:p>
            <w:pPr>
              <w:pStyle w:val="Corpodeltesto"/>
              <w:widowControl w:val="false"/>
              <w:suppressAutoHyphens w:val="true"/>
              <w:spacing w:lineRule="exact" w:line="320" w:before="0" w:after="0"/>
              <w:ind w:right="567" w:hanging="0"/>
              <w:jc w:val="left"/>
              <w:rPr>
                <w:sz w:val="22"/>
                <w:szCs w:val="22"/>
              </w:rPr>
            </w:pPr>
            <w:r>
              <w:rPr>
                <w:rFonts w:eastAsia="Calibri"/>
                <w:kern w:val="0"/>
                <w:sz w:val="22"/>
                <w:szCs w:val="22"/>
              </w:rPr>
              <w:drawing>
                <wp:anchor behindDoc="0" distT="0" distB="0" distL="114300" distR="114300" simplePos="0" locked="0" layoutInCell="1" allowOverlap="1" relativeHeight="11">
                  <wp:simplePos x="0" y="0"/>
                  <wp:positionH relativeFrom="column">
                    <wp:align>center</wp:align>
                  </wp:positionH>
                  <wp:positionV relativeFrom="paragraph">
                    <wp:posOffset>177165</wp:posOffset>
                  </wp:positionV>
                  <wp:extent cx="525780" cy="633730"/>
                  <wp:effectExtent l="0" t="0" r="0" b="0"/>
                  <wp:wrapSquare wrapText="bothSides"/>
                  <wp:docPr id="3" name="Immagin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5" descr=""/>
                          <pic:cNvPicPr>
                            <a:picLocks noChangeAspect="1" noChangeArrowheads="1"/>
                          </pic:cNvPicPr>
                        </pic:nvPicPr>
                        <pic:blipFill>
                          <a:blip r:embed="rId4"/>
                          <a:stretch>
                            <a:fillRect/>
                          </a:stretch>
                        </pic:blipFill>
                        <pic:spPr bwMode="auto">
                          <a:xfrm>
                            <a:off x="0" y="0"/>
                            <a:ext cx="525780" cy="633730"/>
                          </a:xfrm>
                          <a:prstGeom prst="rect">
                            <a:avLst/>
                          </a:prstGeom>
                        </pic:spPr>
                      </pic:pic>
                    </a:graphicData>
                  </a:graphic>
                </wp:anchor>
              </w:drawing>
            </w:r>
          </w:p>
        </w:tc>
        <w:tc>
          <w:tcPr>
            <w:tcW w:w="2558" w:type="dxa"/>
            <w:tcBorders/>
          </w:tcPr>
          <w:p>
            <w:pPr>
              <w:pStyle w:val="Corpodeltesto"/>
              <w:widowControl w:val="false"/>
              <w:suppressAutoHyphens w:val="true"/>
              <w:spacing w:lineRule="exact" w:line="320" w:before="0" w:after="0"/>
              <w:ind w:right="567" w:hanging="0"/>
              <w:jc w:val="left"/>
              <w:rPr>
                <w:sz w:val="22"/>
                <w:szCs w:val="22"/>
              </w:rPr>
            </w:pPr>
            <w:r>
              <w:rPr>
                <w:rFonts w:eastAsia="Calibri"/>
                <w:kern w:val="0"/>
                <w:sz w:val="22"/>
                <w:szCs w:val="22"/>
              </w:rPr>
              <w:drawing>
                <wp:anchor behindDoc="0" distT="0" distB="0" distL="0" distR="0" simplePos="0" locked="0" layoutInCell="1" allowOverlap="1" relativeHeight="4">
                  <wp:simplePos x="0" y="0"/>
                  <wp:positionH relativeFrom="column">
                    <wp:align>center</wp:align>
                  </wp:positionH>
                  <wp:positionV relativeFrom="paragraph">
                    <wp:posOffset>209550</wp:posOffset>
                  </wp:positionV>
                  <wp:extent cx="1097915" cy="511175"/>
                  <wp:effectExtent l="0" t="0" r="0" b="0"/>
                  <wp:wrapSquare wrapText="bothSides"/>
                  <wp:docPr id="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
                          <pic:cNvPicPr>
                            <a:picLocks noChangeAspect="1" noChangeArrowheads="1"/>
                          </pic:cNvPicPr>
                        </pic:nvPicPr>
                        <pic:blipFill>
                          <a:blip r:embed="rId5"/>
                          <a:stretch>
                            <a:fillRect/>
                          </a:stretch>
                        </pic:blipFill>
                        <pic:spPr bwMode="auto">
                          <a:xfrm>
                            <a:off x="0" y="0"/>
                            <a:ext cx="1097915" cy="511175"/>
                          </a:xfrm>
                          <a:prstGeom prst="rect">
                            <a:avLst/>
                          </a:prstGeom>
                        </pic:spPr>
                      </pic:pic>
                    </a:graphicData>
                  </a:graphic>
                </wp:anchor>
              </w:drawing>
            </w:r>
          </w:p>
        </w:tc>
      </w:tr>
      <w:tr>
        <w:trPr/>
        <w:tc>
          <w:tcPr>
            <w:tcW w:w="2558" w:type="dxa"/>
            <w:tcBorders/>
          </w:tcPr>
          <w:p>
            <w:pPr>
              <w:pStyle w:val="Corpodeltesto"/>
              <w:widowControl w:val="false"/>
              <w:suppressAutoHyphens w:val="true"/>
              <w:spacing w:lineRule="exact" w:line="320" w:before="0" w:after="0"/>
              <w:jc w:val="center"/>
              <w:rPr>
                <w:sz w:val="22"/>
                <w:szCs w:val="22"/>
              </w:rPr>
            </w:pPr>
            <w:r>
              <w:rPr>
                <w:rFonts w:eastAsia="Calibri"/>
                <w:b/>
                <w:kern w:val="0"/>
                <w:sz w:val="22"/>
                <w:szCs w:val="22"/>
              </w:rPr>
              <w:t>UNIONE EUROPEA</w:t>
            </w:r>
          </w:p>
        </w:tc>
        <w:tc>
          <w:tcPr>
            <w:tcW w:w="2560" w:type="dxa"/>
            <w:tcBorders/>
          </w:tcPr>
          <w:p>
            <w:pPr>
              <w:pStyle w:val="Corpodeltesto"/>
              <w:widowControl w:val="false"/>
              <w:suppressAutoHyphens w:val="true"/>
              <w:spacing w:lineRule="exact" w:line="320" w:before="0" w:after="0"/>
              <w:ind w:right="-32" w:hanging="0"/>
              <w:jc w:val="center"/>
              <w:rPr>
                <w:sz w:val="22"/>
                <w:szCs w:val="22"/>
              </w:rPr>
            </w:pPr>
            <w:r>
              <w:rPr>
                <w:rFonts w:eastAsia="Calibri"/>
                <w:b/>
                <w:kern w:val="0"/>
                <w:sz w:val="22"/>
                <w:szCs w:val="22"/>
              </w:rPr>
              <w:t>REPUBBLICA ITALIANA</w:t>
            </w:r>
          </w:p>
        </w:tc>
        <w:tc>
          <w:tcPr>
            <w:tcW w:w="2557" w:type="dxa"/>
            <w:tcBorders/>
          </w:tcPr>
          <w:p>
            <w:pPr>
              <w:pStyle w:val="Corpodeltesto"/>
              <w:widowControl w:val="false"/>
              <w:suppressAutoHyphens w:val="true"/>
              <w:spacing w:lineRule="exact" w:line="320" w:before="0" w:after="0"/>
              <w:jc w:val="center"/>
              <w:rPr>
                <w:sz w:val="22"/>
                <w:szCs w:val="22"/>
              </w:rPr>
            </w:pPr>
            <w:r>
              <w:rPr>
                <w:rFonts w:eastAsia="Calibri"/>
                <w:b/>
                <w:kern w:val="0"/>
                <w:sz w:val="22"/>
                <w:szCs w:val="22"/>
              </w:rPr>
              <w:t>REGIONE SICILIANA</w:t>
            </w:r>
          </w:p>
        </w:tc>
        <w:tc>
          <w:tcPr>
            <w:tcW w:w="2558" w:type="dxa"/>
            <w:tcBorders/>
          </w:tcPr>
          <w:p>
            <w:pPr>
              <w:pStyle w:val="Corpodeltesto"/>
              <w:widowControl w:val="false"/>
              <w:suppressAutoHyphens w:val="true"/>
              <w:spacing w:lineRule="exact" w:line="320" w:before="0" w:after="0"/>
              <w:jc w:val="center"/>
              <w:rPr>
                <w:sz w:val="22"/>
                <w:szCs w:val="22"/>
              </w:rPr>
            </w:pPr>
            <w:r>
              <w:rPr>
                <w:rFonts w:eastAsia="Calibri"/>
                <w:b/>
                <w:kern w:val="0"/>
                <w:sz w:val="22"/>
                <w:szCs w:val="22"/>
              </w:rPr>
              <w:t>PO FESR 2014/2020</w:t>
            </w:r>
          </w:p>
        </w:tc>
      </w:tr>
    </w:tbl>
    <w:p>
      <w:pPr>
        <w:pStyle w:val="Corpodeltesto"/>
        <w:spacing w:lineRule="exact" w:line="320"/>
        <w:ind w:left="567" w:right="567" w:hanging="0"/>
        <w:rPr>
          <w:sz w:val="22"/>
          <w:szCs w:val="22"/>
        </w:rPr>
      </w:pPr>
      <w:r>
        <w:rPr>
          <w:sz w:val="22"/>
          <w:szCs w:val="22"/>
        </w:rPr>
      </w:r>
    </w:p>
    <w:p>
      <w:pPr>
        <w:pStyle w:val="Corpodeltesto"/>
        <w:spacing w:lineRule="exact" w:line="320"/>
        <w:ind w:left="567" w:right="567" w:hanging="0"/>
        <w:rPr>
          <w:sz w:val="22"/>
          <w:szCs w:val="22"/>
        </w:rPr>
      </w:pPr>
      <w:r>
        <w:rPr>
          <w:sz w:val="22"/>
          <w:szCs w:val="22"/>
        </w:rPr>
      </w:r>
    </w:p>
    <w:p>
      <w:pPr>
        <w:pStyle w:val="Corpodeltesto"/>
        <w:spacing w:lineRule="exact" w:line="320"/>
        <w:ind w:left="567" w:right="567" w:hanging="0"/>
        <w:rPr>
          <w:rFonts w:ascii="Calibri Light" w:hAnsi="Calibri Light"/>
          <w:sz w:val="22"/>
          <w:szCs w:val="22"/>
        </w:rPr>
      </w:pPr>
      <w:r>
        <w:rPr>
          <w:rFonts w:ascii="Calibri Light" w:hAnsi="Calibri Light"/>
          <w:sz w:val="22"/>
          <w:szCs w:val="22"/>
        </w:rPr>
      </w:r>
    </w:p>
    <w:p>
      <w:pPr>
        <w:pStyle w:val="Normal"/>
        <w:tabs>
          <w:tab w:val="clear" w:pos="720"/>
          <w:tab w:val="left" w:pos="4950" w:leader="none"/>
          <w:tab w:val="left" w:pos="6074" w:leader="none"/>
        </w:tabs>
        <w:spacing w:lineRule="exact" w:line="320"/>
        <w:ind w:left="567" w:right="567" w:hanging="0"/>
        <w:jc w:val="center"/>
        <w:rPr>
          <w:b/>
          <w:b/>
        </w:rPr>
      </w:pPr>
      <w:r>
        <w:rPr>
          <w:b/>
        </w:rPr>
        <w:t>PROGRAMMA OPERATIVO FESR SICILIA 2014/2020</w:t>
      </w:r>
    </w:p>
    <w:p>
      <w:pPr>
        <w:pStyle w:val="Normal"/>
        <w:tabs>
          <w:tab w:val="clear" w:pos="720"/>
          <w:tab w:val="left" w:pos="4950" w:leader="none"/>
          <w:tab w:val="left" w:pos="6074" w:leader="none"/>
        </w:tabs>
        <w:spacing w:lineRule="exact" w:line="320"/>
        <w:ind w:left="567" w:right="567" w:hanging="0"/>
        <w:jc w:val="center"/>
        <w:rPr>
          <w:b/>
          <w:b/>
        </w:rPr>
      </w:pPr>
      <w:r>
        <w:rPr>
          <w:b/>
        </w:rPr>
        <w:t>ASSE PRIORITARIO 2: Agenda Digitale - AZIONE 2.2.1</w:t>
      </w:r>
    </w:p>
    <w:p>
      <w:pPr>
        <w:pStyle w:val="Normal"/>
        <w:tabs>
          <w:tab w:val="clear" w:pos="720"/>
          <w:tab w:val="left" w:pos="4950" w:leader="none"/>
          <w:tab w:val="left" w:pos="6074" w:leader="none"/>
        </w:tabs>
        <w:spacing w:lineRule="exact" w:line="320"/>
        <w:ind w:left="567" w:right="567" w:hanging="0"/>
        <w:jc w:val="center"/>
        <w:rPr>
          <w:b/>
          <w:b/>
        </w:rPr>
      </w:pPr>
      <w:r>
        <w:rPr>
          <w:b/>
        </w:rPr>
        <w:t>Soluzioni tecnologiche per la digitalizzazione e innovazione dei processi interni dei vari ambiti della Pubblica Amministrazione nel quadro del Sistema pubblico di connettività quali ad esempio la giustizia (informatizzazione del processo civile), la sanita`, il turismo, le attività e i beni culturali, i servizi alle imprese</w:t>
      </w:r>
    </w:p>
    <w:p>
      <w:pPr>
        <w:pStyle w:val="Titolo1"/>
        <w:spacing w:lineRule="exact" w:line="320"/>
        <w:ind w:left="567" w:right="567" w:hanging="0"/>
        <w:rPr>
          <w:sz w:val="22"/>
          <w:szCs w:val="22"/>
        </w:rPr>
      </w:pPr>
      <w:r>
        <w:rPr>
          <w:sz w:val="22"/>
          <w:szCs w:val="22"/>
        </w:rPr>
        <w:t>DISCIPLINARE REGOLANTE I RAPPORTI</w:t>
      </w:r>
    </w:p>
    <w:p>
      <w:pPr>
        <w:pStyle w:val="Normal"/>
        <w:spacing w:lineRule="exact" w:line="320"/>
        <w:ind w:left="567" w:right="567" w:hanging="0"/>
        <w:jc w:val="center"/>
        <w:rPr>
          <w:b/>
          <w:b/>
        </w:rPr>
      </w:pPr>
      <w:r>
        <w:rPr>
          <w:b/>
        </w:rPr>
        <w:t>TRA</w:t>
      </w:r>
    </w:p>
    <w:p>
      <w:pPr>
        <w:pStyle w:val="Titolo1"/>
        <w:spacing w:lineRule="exact" w:line="320"/>
        <w:ind w:left="567" w:right="567" w:hanging="0"/>
        <w:rPr>
          <w:sz w:val="22"/>
          <w:szCs w:val="22"/>
        </w:rPr>
      </w:pPr>
      <w:r>
        <w:rPr>
          <w:sz w:val="22"/>
          <w:szCs w:val="22"/>
        </w:rPr>
        <w:t>LA REGIONE SICILIANA</w:t>
      </w:r>
    </w:p>
    <w:p>
      <w:pPr>
        <w:pStyle w:val="Normal"/>
        <w:spacing w:lineRule="exact" w:line="320"/>
        <w:ind w:left="567" w:right="567" w:hanging="0"/>
        <w:jc w:val="center"/>
        <w:rPr>
          <w:b/>
          <w:b/>
        </w:rPr>
      </w:pPr>
      <w:r>
        <w:rPr>
          <w:b/>
        </w:rPr>
        <w:t>AUTORITA’ REGIONALE PER L’INNOVAZIONE TECNOLOGICA</w:t>
      </w:r>
    </w:p>
    <w:p>
      <w:pPr>
        <w:pStyle w:val="Normal"/>
        <w:spacing w:lineRule="exact" w:line="320"/>
        <w:ind w:left="567" w:right="567" w:hanging="0"/>
        <w:jc w:val="center"/>
        <w:rPr>
          <w:b/>
          <w:b/>
          <w:bCs/>
        </w:rPr>
      </w:pPr>
      <w:r>
        <w:rPr>
          <w:b/>
          <w:bCs/>
        </w:rPr>
        <w:t>E</w:t>
      </w:r>
    </w:p>
    <w:p>
      <w:pPr>
        <w:pStyle w:val="Normal"/>
        <w:ind w:left="3600" w:firstLine="720"/>
        <w:rPr/>
      </w:pPr>
      <w:r>
        <w:rPr/>
        <w:t>COMUNE DI ACI BONACCORSI</w:t>
      </w:r>
    </w:p>
    <w:p>
      <w:pPr>
        <w:pStyle w:val="Normal"/>
        <w:ind w:left="2880" w:firstLine="720"/>
        <w:rPr/>
      </w:pPr>
      <w:r>
        <w:rPr/>
        <w:t>PER LA REALIZZAZIONE DELL’OPERAZIONE</w:t>
      </w:r>
    </w:p>
    <w:p>
      <w:pPr>
        <w:pStyle w:val="Normal"/>
        <w:spacing w:lineRule="exact" w:line="320"/>
        <w:ind w:left="567" w:right="567" w:hanging="0"/>
        <w:jc w:val="center"/>
        <w:rPr>
          <w:b/>
          <w:b/>
        </w:rPr>
      </w:pPr>
      <w:r>
        <w:rPr>
          <w:b/>
        </w:rPr>
        <w:t>Progetto di digitalizzazione dei documenti storici</w:t>
      </w:r>
    </w:p>
    <w:p>
      <w:pPr>
        <w:pStyle w:val="Normal"/>
        <w:spacing w:lineRule="exact" w:line="320"/>
        <w:ind w:left="567" w:right="567" w:hanging="0"/>
        <w:jc w:val="center"/>
        <w:rPr>
          <w:i/>
          <w:i/>
        </w:rPr>
      </w:pPr>
      <w:r>
        <w:rPr>
          <w:i/>
        </w:rPr>
        <w:t xml:space="preserve">di cui all’allegato </w:t>
      </w:r>
    </w:p>
    <w:p>
      <w:pPr>
        <w:pStyle w:val="Normal"/>
        <w:spacing w:lineRule="exact" w:line="320"/>
        <w:ind w:left="567" w:right="567" w:hanging="0"/>
        <w:jc w:val="center"/>
        <w:rPr>
          <w:i/>
          <w:i/>
        </w:rPr>
      </w:pPr>
      <w:r>
        <w:rPr>
          <w:bCs/>
          <w:i/>
          <w:iCs/>
        </w:rPr>
        <w:t>ai sensi dell’art.125, paragrafo 3, lettera c) del Reg.(UE) 1303/2013</w:t>
      </w:r>
    </w:p>
    <w:p>
      <w:pPr>
        <w:pStyle w:val="Normal"/>
        <w:spacing w:lineRule="exact" w:line="320"/>
        <w:ind w:left="567" w:right="567" w:hanging="0"/>
        <w:jc w:val="center"/>
        <w:rPr>
          <w:b/>
          <w:b/>
        </w:rPr>
      </w:pPr>
      <w:r>
        <w:rPr>
          <w:b/>
        </w:rPr>
      </w:r>
    </w:p>
    <w:p>
      <w:pPr>
        <w:sectPr>
          <w:footerReference w:type="default" r:id="rId6"/>
          <w:type w:val="nextPage"/>
          <w:pgSz w:w="11906" w:h="16838"/>
          <w:pgMar w:left="902" w:right="760" w:gutter="0" w:header="0" w:top="851" w:footer="720" w:bottom="777"/>
          <w:pgNumType w:fmt="decimal"/>
          <w:formProt w:val="false"/>
          <w:textDirection w:val="lrTb"/>
          <w:docGrid w:type="default" w:linePitch="100" w:charSpace="8192"/>
        </w:sectPr>
        <w:pStyle w:val="Normal"/>
        <w:spacing w:lineRule="exact" w:line="320"/>
        <w:ind w:left="567" w:right="567" w:hanging="0"/>
        <w:jc w:val="center"/>
        <w:rPr>
          <w:bCs/>
          <w:i/>
          <w:i/>
          <w:iCs/>
        </w:rPr>
      </w:pPr>
      <w:r>
        <w:rPr>
          <w:b/>
        </w:rPr>
        <w:t>CUP:</w:t>
      </w:r>
      <w:r>
        <w:rPr>
          <w:b/>
        </w:rPr>
        <w:t>G19J21009610002</w:t>
      </w:r>
      <w:r>
        <w:rPr>
          <w:b/>
          <w:bCs/>
        </w:rPr>
        <w:t>-</w:t>
      </w:r>
      <w:r>
        <w:rPr>
          <w:b/>
          <w:bCs/>
          <w:iCs/>
        </w:rPr>
        <w:t>Codice Caronte</w:t>
      </w:r>
      <w:r>
        <w:rPr/>
        <w:t>: SI_1_32403</w:t>
      </w:r>
    </w:p>
    <w:p>
      <w:pPr>
        <w:pStyle w:val="Corpodeltesto"/>
        <w:spacing w:lineRule="exact" w:line="320"/>
        <w:ind w:left="567" w:right="567" w:hanging="0"/>
        <w:jc w:val="center"/>
        <w:rPr>
          <w:rFonts w:cs="Calibri" w:cstheme="minorHAnsi"/>
          <w:b/>
          <w:b/>
          <w:sz w:val="22"/>
          <w:szCs w:val="22"/>
        </w:rPr>
      </w:pPr>
      <w:r>
        <w:rPr>
          <w:rFonts w:cs="Calibri" w:cstheme="minorHAnsi"/>
          <w:b/>
          <w:sz w:val="22"/>
          <w:szCs w:val="22"/>
        </w:rPr>
        <w:t>Art. 1 – Oggetto e validità del Disciplinare</w:t>
      </w:r>
    </w:p>
    <w:p>
      <w:pPr>
        <w:pStyle w:val="ListParagraph"/>
        <w:widowControl/>
        <w:numPr>
          <w:ilvl w:val="0"/>
          <w:numId w:val="4"/>
        </w:numPr>
        <w:rPr>
          <w:rFonts w:ascii="Calibri" w:hAnsi="Calibri" w:eastAsia="Times New Roman"/>
          <w:color w:val="000000"/>
          <w:lang w:bidi="ar-SA"/>
        </w:rPr>
      </w:pPr>
      <w:r>
        <w:rPr>
          <w:rFonts w:cs="Calibri" w:cstheme="minorHAnsi"/>
        </w:rPr>
        <w:t xml:space="preserve">I rapporti tra la Regione Siciliana, Autorità Regionale per l’Innovazione Tecnologica, (di seguito, “Regione”) e, soggetto beneficiario </w:t>
      </w:r>
      <w:r>
        <w:rPr>
          <w:rFonts w:cs="Calibri" w:cstheme="minorHAnsi"/>
          <w:b/>
        </w:rPr>
        <w:t>il Comune di ACI BONACCORSI</w:t>
      </w:r>
      <w:r>
        <w:rPr>
          <w:rFonts w:cs="Calibri" w:cstheme="minorHAnsi"/>
        </w:rPr>
        <w:t xml:space="preserve"> (di seguito, “Beneficiario”) del contributo finanziario (di seguito, anche “contributo” o “finanziamento”) a valere sul Programma Operativo FESR Regione Siciliana 2014/2020 (di seguito, “Programma”), Asse Prioritario 2 Agenda Digitale, </w:t>
      </w:r>
      <w:r>
        <w:rPr>
          <w:rFonts w:cs="Calibri" w:cstheme="minorHAnsi"/>
          <w:b/>
        </w:rPr>
        <w:t xml:space="preserve">Azione 2.2.1, PRATT 4216, per l’importo di </w:t>
      </w:r>
      <w:r>
        <w:rPr>
          <w:rFonts w:eastAsia="Times New Roman"/>
          <w:b/>
          <w:color w:val="000000"/>
          <w:lang w:bidi="ar-SA"/>
        </w:rPr>
        <w:t>€ 10.000,00.</w:t>
      </w:r>
    </w:p>
    <w:p>
      <w:pPr>
        <w:pStyle w:val="Normal"/>
        <w:widowControl/>
        <w:ind w:left="720" w:firstLine="45"/>
        <w:jc w:val="both"/>
        <w:rPr>
          <w:rFonts w:ascii="Calibri" w:hAnsi="Calibri" w:eastAsia="Times New Roman"/>
          <w:color w:val="000000"/>
          <w:lang w:bidi="ar-SA"/>
        </w:rPr>
      </w:pPr>
      <w:r>
        <w:rPr>
          <w:rFonts w:cs="Calibri" w:cstheme="minorHAnsi"/>
        </w:rPr>
        <w:t>per la realizzazione dell’Operazione (di seguito Operazione) di cui all’Allegato al presente Disciplinare, costituente parte integrante di quest’ultimo, sono regolamentati secondo quanto riportato nei successiviarticoli.</w:t>
      </w:r>
    </w:p>
    <w:p>
      <w:pPr>
        <w:pStyle w:val="ListParagraph"/>
        <w:numPr>
          <w:ilvl w:val="0"/>
          <w:numId w:val="4"/>
        </w:numPr>
        <w:tabs>
          <w:tab w:val="clear" w:pos="720"/>
          <w:tab w:val="left" w:pos="661" w:leader="none"/>
        </w:tabs>
        <w:spacing w:lineRule="exact" w:line="320"/>
        <w:ind w:left="720" w:right="567" w:hanging="360"/>
        <w:rPr>
          <w:rFonts w:cs="Calibri" w:cstheme="minorHAnsi"/>
          <w:b/>
          <w:b/>
        </w:rPr>
      </w:pPr>
      <w:r>
        <w:rPr>
          <w:rFonts w:cs="Calibri" w:cstheme="minorHAnsi"/>
        </w:rPr>
        <w:t>Il presente Disciplinare vincola il beneficiario dalla data di sottoscrizione e la Regione dalla data del visto di regolarità contabile del provvedimento di approvazione dello stesso disciplinare.</w:t>
      </w:r>
    </w:p>
    <w:p>
      <w:pPr>
        <w:pStyle w:val="ListParagraph"/>
        <w:numPr>
          <w:ilvl w:val="0"/>
          <w:numId w:val="4"/>
        </w:numPr>
        <w:tabs>
          <w:tab w:val="clear" w:pos="720"/>
          <w:tab w:val="left" w:pos="661" w:leader="none"/>
        </w:tabs>
        <w:spacing w:lineRule="exact" w:line="320"/>
        <w:ind w:left="720" w:right="567" w:hanging="360"/>
        <w:rPr>
          <w:rFonts w:cs="Calibri" w:cstheme="minorHAnsi"/>
          <w:b/>
          <w:b/>
        </w:rPr>
      </w:pPr>
      <w:r>
        <w:rPr>
          <w:rFonts w:cs="Calibri" w:cstheme="minorHAnsi"/>
        </w:rPr>
        <w:t>Tutti i termini indicati nel presente Disciplinare sono da intendersi riferiti a giorni naturali e consecutivi, salvo ove diversamenteindicato.</w:t>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2 – Obblighi del Beneficiario</w:t>
      </w:r>
    </w:p>
    <w:p>
      <w:pPr>
        <w:pStyle w:val="ListParagraph"/>
        <w:tabs>
          <w:tab w:val="clear" w:pos="720"/>
          <w:tab w:val="left" w:pos="661" w:leader="none"/>
        </w:tabs>
        <w:spacing w:lineRule="exact" w:line="320"/>
        <w:ind w:left="720" w:hanging="361"/>
        <w:rPr>
          <w:rFonts w:cs="Calibri" w:cstheme="minorHAnsi"/>
        </w:rPr>
      </w:pPr>
      <w:r>
        <w:rPr>
          <w:rFonts w:cs="Calibri" w:cstheme="minorHAnsi"/>
        </w:rPr>
        <w:t>Il Beneficiario provvede a dare attuazione all’Operazione e, al fine di garantire il rispetto delle procedure di gestione previste per il Programma, si obbliga a:</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rispettare, nelle diverse fasi di attuazione dell’Operazione, tutte le norme e i principi comunitari, nazionali e regionali applicabili in materia di appalti e concessioni (sia per quanto attiene all’aggiudicazione, sia per quanto riguarda l’esecuzione), concorrenza, aiuti di Stato, tutela dell’ambiente e pari opportunità;</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rispettare le disposizioni comunitarie, nazionali e regionali relative all’ammissibilità a rimborso delle spese sostenute e a sostenersi per l’esecuzione dell’Operazione;</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garantire il rispetto e l’applicazione delle norme in materia di informazione e pubblicità del finanziamento con Fondi strutturali e di investimento europei (di seguito, “Fondi SIE”) dell’Operazione, in particolare delle disposizioni del Capo II del Regolamento Es. (UE) 821/2014 (artt. 3, 4 e 5);</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rispettare le disposizioni di cui alla lett. b) dell’art. 125 del Regolamento (UE) 1303/2013 (contabilità separata) nella gestione delle somme trasferite dalla Regione a titolo di finanziamento a valere sulle risorse del Programma;</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applicare e rispettare le norme in materia di contrasto al lavoro non regolare, anche attraverso specifiche disposizioni inserite nei bandi di gara per l’affidamento delle attività a terzi;</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 xml:space="preserve">applicare e rispettare le disposizioni di cui alla legge regionale n. 10/1991 e s.m.i., nonché le altre disposizioni nazionali e regionali in materia fiscale, di trasparenza dell’azione amministrativa, di tracciabilità dei pagamenti, di contrasto alla criminalità organizzata e di anticorruzione </w:t>
      </w:r>
      <w:r>
        <w:rPr>
          <w:rFonts w:cs="Calibri" w:cstheme="minorHAnsi"/>
          <w:i/>
        </w:rPr>
        <w:t xml:space="preserve">ex lege </w:t>
      </w:r>
      <w:r>
        <w:rPr>
          <w:rFonts w:cs="Calibri" w:cstheme="minorHAnsi"/>
        </w:rPr>
        <w:t>n. 190/2010;</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garantire la capacità amministrativa e operativa della sua struttura necessaria alla realizzazione dell’Operazione;</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provvedere all’alimentazione delle informazioni e alla rendicontazione delle spese mediante registrazione delle stesse sul sistema di monitoraggio economico, finanziario, fisico e procedurale Caronte, reso disponibile dalla Regione, nel rispetto delle disposizioni applicabili in materia di Fondi SIE;</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anticipare la quota del 10% del contributo finanziario definitivo, corrispondente alla quota di saldo che la Regione erogherà a seguito dell’avvenuta approvazione del certificato di collaudo (per le opere) o del certificato di verifica di conformità (per forniture e servizi), ovvero del certificato di regolare esecuzione ove ne ricorrano i presupposti della vigente normativa nazionale;</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conservare la documentazione relativa all’Operazione, ivi compresi tutti i giustificativi di spesa, nei modi indicati nel successivo art. 10 del Disciplinare per un periodo di due anni a decorrere dal 31 dicembre successivo alla presentazione dei conti nei quali sono incluse le spese finali dell'Operazione completata;</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rendere disponibile e trasmettere, in formato elettronico ed eventualmente in formato cartaceo, la documentazione di cui al precedente punto 10) entro i 15 (quindici) giorni successivi alla richiesta;</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 xml:space="preserve">consentire le verifiche </w:t>
      </w:r>
      <w:r>
        <w:rPr>
          <w:rFonts w:cs="Calibri" w:cstheme="minorHAnsi"/>
          <w:i/>
        </w:rPr>
        <w:t>in loco</w:t>
      </w:r>
      <w:r>
        <w:rPr>
          <w:rFonts w:cs="Calibri" w:cstheme="minorHAnsi"/>
        </w:rPr>
        <w:t>, a favore delle autorità di controllo regionali, nazionali e comunitarie;</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assicurare che l’Operazione sia completata, in uso e funzionante entro il termine previsto nel cronoprogramma di cui al paragrafo 6 dell’Allegato al presente Disciplinare;</w:t>
      </w:r>
    </w:p>
    <w:p>
      <w:pPr>
        <w:pStyle w:val="ListParagraph"/>
        <w:numPr>
          <w:ilvl w:val="1"/>
          <w:numId w:val="18"/>
        </w:numPr>
        <w:tabs>
          <w:tab w:val="clear" w:pos="720"/>
          <w:tab w:val="left" w:pos="661" w:leader="none"/>
        </w:tabs>
        <w:spacing w:lineRule="exact" w:line="320"/>
        <w:rPr>
          <w:rFonts w:cs="Calibri" w:cstheme="minorHAnsi"/>
        </w:rPr>
      </w:pPr>
      <w:r>
        <w:rPr>
          <w:rFonts w:cs="Calibri" w:cstheme="minorHAnsi"/>
        </w:rPr>
        <w:t>dare tempestiva informazione circa l’insorgere di eventuali procedure amministrative o giudiziarie concernenti l’Operazione.</w:t>
      </w:r>
    </w:p>
    <w:p>
      <w:pPr>
        <w:pStyle w:val="ListParagraph"/>
        <w:tabs>
          <w:tab w:val="clear" w:pos="720"/>
          <w:tab w:val="left" w:pos="661" w:leader="none"/>
        </w:tabs>
        <w:spacing w:lineRule="exact" w:line="320"/>
        <w:ind w:left="720" w:hanging="361"/>
        <w:rPr>
          <w:rFonts w:cs="Calibri" w:cstheme="minorHAnsi"/>
          <w:b/>
          <w:b/>
        </w:rPr>
      </w:pPr>
      <w:r>
        <w:rPr>
          <w:rFonts w:cs="Calibri" w:cstheme="minorHAnsi"/>
          <w:b/>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3 – Cronoprogramma dell’Operazione</w:t>
      </w:r>
    </w:p>
    <w:p>
      <w:pPr>
        <w:pStyle w:val="ListParagraph"/>
        <w:numPr>
          <w:ilvl w:val="0"/>
          <w:numId w:val="17"/>
        </w:numPr>
        <w:tabs>
          <w:tab w:val="clear" w:pos="720"/>
          <w:tab w:val="left" w:pos="661" w:leader="none"/>
        </w:tabs>
        <w:spacing w:lineRule="exact" w:line="320"/>
        <w:rPr>
          <w:rFonts w:cs="Calibri" w:cstheme="minorHAnsi"/>
        </w:rPr>
      </w:pPr>
      <w:r>
        <w:rPr>
          <w:rFonts w:cs="Calibri" w:cstheme="minorHAnsi"/>
        </w:rPr>
        <w:t>Nell’attuazione dell’Operazione il Beneficiario si impegna al rispetto del cronoprogramma di cui al paragrafo 6 “</w:t>
      </w:r>
      <w:r>
        <w:rPr>
          <w:rFonts w:cs="Calibri" w:cstheme="minorHAnsi"/>
          <w:i/>
        </w:rPr>
        <w:t>Cronogramma dell’Operazione</w:t>
      </w:r>
      <w:r>
        <w:rPr>
          <w:rFonts w:cs="Calibri" w:cstheme="minorHAnsi"/>
        </w:rPr>
        <w:t>” dell’Allegato al presente Disciplinare.</w:t>
      </w:r>
    </w:p>
    <w:p>
      <w:pPr>
        <w:pStyle w:val="ListParagraph"/>
        <w:numPr>
          <w:ilvl w:val="0"/>
          <w:numId w:val="17"/>
        </w:numPr>
        <w:tabs>
          <w:tab w:val="clear" w:pos="720"/>
          <w:tab w:val="left" w:pos="661" w:leader="none"/>
        </w:tabs>
        <w:spacing w:lineRule="exact" w:line="320"/>
        <w:rPr>
          <w:rFonts w:cs="Calibri" w:cstheme="minorHAnsi"/>
        </w:rPr>
      </w:pPr>
      <w:r>
        <w:rPr>
          <w:rFonts w:cs="Calibri" w:cstheme="minorHAnsi"/>
        </w:rPr>
        <w:t>Nel caso in cui il mancato rispetto dei termini temporali per ciascuna delle singole fasi di attuazione dell’Operazione indicati nel paragrafo 6 dell’Allegato al presente Disciplinare, così come riveniente dal sistema di monitoraggio economico, finanziario, fisico e procedurale Caronte o comunque accertato dalla Regione, non consenta di completare l’Operazione entro il termine previsto nel medesimo cronoprogramma, la Regione avvia il procedimento di revoca del contributo finanziario concesso, salvo che, ricorrendo comunque le condizioni di cui al successivo comma 3, il ritardo dipenda da causa di forza maggiore comprovata, da dimostrarsi dal Beneficiario entro 15 (quindici) giorni dalla ricezione della comunicazione di avvio del procedimento di revoca del contributo finanziario concesso.</w:t>
      </w:r>
    </w:p>
    <w:p>
      <w:pPr>
        <w:pStyle w:val="ListParagraph"/>
        <w:numPr>
          <w:ilvl w:val="0"/>
          <w:numId w:val="17"/>
        </w:numPr>
        <w:tabs>
          <w:tab w:val="clear" w:pos="720"/>
          <w:tab w:val="left" w:pos="661" w:leader="none"/>
        </w:tabs>
        <w:spacing w:lineRule="exact" w:line="320"/>
        <w:rPr>
          <w:rFonts w:cs="Calibri" w:cstheme="minorHAnsi"/>
        </w:rPr>
      </w:pPr>
      <w:r>
        <w:rPr>
          <w:rFonts w:cs="Calibri" w:cstheme="minorHAnsi"/>
        </w:rPr>
        <w:t>Nel caso in cui il ritardo di cui al precedente comma 2 dipenda da causa di forza maggiore comprovata, la Regione potrà consentire, su richiesta del Beneficiario e per singola fase, una proroga per non più di una volta dei termini stabiliti, ove possa ragionevolmente ritenersi che l'Operazione sia comunque destinata a essere completata, entrare in uso e funzionante con un ritardo complessivamente non superiore a 12 (dodici) mesi rispetto al termine originariamente previsto dal cronoprogramma dell’Operazione di cui al paragrafo 6 dell’Allegato al presente Disciplinare e sempreché:</w:t>
      </w:r>
    </w:p>
    <w:p>
      <w:pPr>
        <w:pStyle w:val="ListParagraph"/>
        <w:numPr>
          <w:ilvl w:val="1"/>
          <w:numId w:val="17"/>
        </w:numPr>
        <w:tabs>
          <w:tab w:val="clear" w:pos="720"/>
          <w:tab w:val="left" w:pos="661" w:leader="none"/>
        </w:tabs>
        <w:spacing w:lineRule="exact" w:line="320"/>
        <w:rPr>
          <w:rFonts w:cs="Calibri" w:cstheme="minorHAnsi"/>
        </w:rPr>
      </w:pPr>
      <w:r>
        <w:rPr>
          <w:rFonts w:cs="Calibri" w:cstheme="minorHAnsi"/>
        </w:rPr>
        <w:t>il completamento dell’Operazione avvenga entro i termini disciplinati dalle pertinenti disposizioni comunitarie, nazionali e regionali;</w:t>
      </w:r>
    </w:p>
    <w:p>
      <w:pPr>
        <w:pStyle w:val="ListParagraph"/>
        <w:numPr>
          <w:ilvl w:val="1"/>
          <w:numId w:val="17"/>
        </w:numPr>
        <w:tabs>
          <w:tab w:val="clear" w:pos="720"/>
          <w:tab w:val="left" w:pos="661" w:leader="none"/>
        </w:tabs>
        <w:spacing w:lineRule="exact" w:line="320"/>
        <w:rPr>
          <w:rFonts w:cs="Calibri" w:cstheme="minorHAnsi"/>
        </w:rPr>
      </w:pPr>
      <w:r>
        <w:rPr>
          <w:rFonts w:cs="Calibri" w:cstheme="minorHAnsi"/>
        </w:rPr>
        <w:t>le relative spese possano essere sostenute e rendicontate, ai fini della relativa ammissibilità a rimborso, entro i termini disciplinati dalle pertinenti disposizioni comunitarie, nazionali e regionali.</w:t>
      </w:r>
    </w:p>
    <w:p>
      <w:pPr>
        <w:pStyle w:val="ListParagraph"/>
        <w:tabs>
          <w:tab w:val="clear" w:pos="720"/>
          <w:tab w:val="left" w:pos="661" w:leader="none"/>
        </w:tabs>
        <w:spacing w:lineRule="exact" w:line="320"/>
        <w:ind w:left="720" w:hanging="361"/>
        <w:rPr>
          <w:rFonts w:cs="Calibri" w:cstheme="minorHAnsi"/>
          <w:b/>
          <w:b/>
        </w:rPr>
      </w:pPr>
      <w:r>
        <w:rPr>
          <w:rFonts w:cs="Calibri" w:cstheme="minorHAnsi"/>
          <w:b/>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4 – Affidamento di contratti pubblici finalizzati all’attuazione dell’operazione e gestione delle economie di gara</w:t>
      </w:r>
    </w:p>
    <w:p>
      <w:pPr>
        <w:pStyle w:val="ListParagraph"/>
        <w:numPr>
          <w:ilvl w:val="0"/>
          <w:numId w:val="16"/>
        </w:numPr>
        <w:tabs>
          <w:tab w:val="clear" w:pos="720"/>
          <w:tab w:val="left" w:pos="661" w:leader="none"/>
        </w:tabs>
        <w:spacing w:lineRule="exact" w:line="320"/>
        <w:ind w:left="593" w:right="567" w:hanging="361"/>
        <w:rPr>
          <w:rFonts w:cs="Calibri" w:cstheme="minorHAnsi"/>
        </w:rPr>
      </w:pPr>
      <w:r>
        <w:rPr>
          <w:rFonts w:cs="Calibri" w:cstheme="minorHAnsi"/>
        </w:rPr>
        <w:t xml:space="preserve">A seguito dell’espletamento delle procedure di gara per l’affidamento dei lavori e/o del servizio e/o delle forniture, il Beneficiario trasmette alla Regione, entro ___ (___) giorni dalla stipula del contratto, i relativi provvedimenti di approvazione dell’aggiudicazione, unitamente al contratto, al cronoprogramma e al quadro economico rideterminato e approvato, redatto – per quanto attiene le spese ammissibili – con i criteri di cui all’art. 6 del presente Disciplinare, e con esplicita indicazione delle eventuali economie rinvenienti dai ribassi di gara (sia con riferimento all’importo a base d’asta, sia con riferimento alla voce dell’I.V.A. sulla prestazione oggetto di gara riportata tra le somme a disposizione). </w:t>
      </w:r>
    </w:p>
    <w:p>
      <w:pPr>
        <w:pStyle w:val="ListParagraph"/>
        <w:numPr>
          <w:ilvl w:val="0"/>
          <w:numId w:val="16"/>
        </w:numPr>
        <w:tabs>
          <w:tab w:val="clear" w:pos="720"/>
          <w:tab w:val="left" w:pos="661" w:leader="none"/>
        </w:tabs>
        <w:spacing w:lineRule="exact" w:line="320"/>
        <w:ind w:left="593" w:right="567" w:hanging="361"/>
        <w:rPr>
          <w:rFonts w:cs="Calibri" w:cstheme="minorHAnsi"/>
        </w:rPr>
      </w:pPr>
      <w:r>
        <w:rPr>
          <w:rFonts w:cs="Calibri" w:cstheme="minorHAnsi"/>
        </w:rPr>
        <w:t xml:space="preserve">Nell’ipotesi in cui l’Operazione preveda la realizzazione di opere e/o l’acquisizione di servizi e/o forniture mediante l’espletamento di diverse procedure di gara, la documentazione di cui sopra deve essere inoltrata a seguito dell’espletamento di ciascuna procedura ed entro ___ (___) giorni dalla stipula dei relativi contratti. </w:t>
      </w:r>
    </w:p>
    <w:p>
      <w:pPr>
        <w:pStyle w:val="ListParagraph"/>
        <w:numPr>
          <w:ilvl w:val="0"/>
          <w:numId w:val="16"/>
        </w:numPr>
        <w:tabs>
          <w:tab w:val="clear" w:pos="720"/>
          <w:tab w:val="left" w:pos="661" w:leader="none"/>
        </w:tabs>
        <w:spacing w:lineRule="exact" w:line="320"/>
        <w:ind w:left="593" w:right="567" w:hanging="361"/>
        <w:rPr>
          <w:rFonts w:cs="Calibri" w:cstheme="minorHAnsi"/>
        </w:rPr>
      </w:pPr>
      <w:r>
        <w:rPr>
          <w:rFonts w:cs="Calibri" w:cstheme="minorHAnsi"/>
        </w:rPr>
        <w:t>Unitamente dalla documentazione di cui sopra, qualora non già trasmessi, il Beneficiario deve inserire nella sezione documentale di Caronte:</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t>A) nel caso di acquisizione di servizi o forniture: la documentazione completa (decreto a contrarre, bando/avviso, disciplinare di gara, capitolato d’appalto, progetto di servizi o forniture, ecc.) prevista dalla disciplina nazionale e regionale per l’espletamento della procedura di affidamento del contratto pubblico ai sensi del D.Lgs n. 50/2016 per l’acquisizione dei servizi o delle forniture;</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t>B) nel caso di OOPP: la documentazione completa (decreto a contrarre, bando/avviso, disciplinare di gara, capitolato d’appalto, ecc.) prevista dalla disciplina nazionale e regionale per l’espletamento della procedura di affidamento del contratto pubblico ai sensi del D.Lgs n. 50/2016 per la realizzazione dei lavori, ivi compreso, se non già inserito, il progetto esecutivo dell’operazione, munito di tutti i pareri e i nulla osta previsti dalla normativa nazionale in materia di OOPP.</w:t>
      </w:r>
    </w:p>
    <w:p>
      <w:pPr>
        <w:pStyle w:val="ListParagraph"/>
        <w:numPr>
          <w:ilvl w:val="0"/>
          <w:numId w:val="16"/>
        </w:numPr>
        <w:tabs>
          <w:tab w:val="clear" w:pos="720"/>
          <w:tab w:val="left" w:pos="661" w:leader="none"/>
        </w:tabs>
        <w:spacing w:lineRule="exact" w:line="320"/>
        <w:ind w:left="593" w:right="567" w:hanging="361"/>
        <w:rPr>
          <w:rFonts w:cs="Calibri" w:cstheme="minorHAnsi"/>
        </w:rPr>
      </w:pPr>
      <w:r>
        <w:rPr>
          <w:rFonts w:cs="Calibri" w:cstheme="minorHAnsi"/>
        </w:rPr>
        <w:t>Le economie di gara, ossia le risorse rinvenienti dai ribassi presentati in sede di procedure di gara, possono essere utilizzate direttamente dal Beneficiario per finanziare spese all’interno del quadro economico dello stesso intervento oggetto della procedura di affidamento esclusivamente per la copertura dei maggiori costi connessi alla necessità di fronteggiare gli aumenti eccezionali dei prezzi dei materiali da costruzione, nonché dei carburanti e dei prodotti energetici di cui all’art.26 del D.L. 50/2022 o altre analoghe disposizioni normative, nei limiti e con le modalità stabilite dalle medesime disposizioni normative. Il beneficiario assume la diretta responsabilità dell’esecuzione dell’intervento, che deve essere realizzato in aderenza al quadro economico complessivo e al progetto e alle eventuali variazioni che si rendesse necessario adottare, sempre che le stesse rientrino tra i tassativi casi e nei limiti previsti dalla vigente normativa.</w:t>
      </w:r>
    </w:p>
    <w:p>
      <w:pPr>
        <w:pStyle w:val="ListParagraph"/>
        <w:numPr>
          <w:ilvl w:val="0"/>
          <w:numId w:val="16"/>
        </w:numPr>
        <w:tabs>
          <w:tab w:val="clear" w:pos="720"/>
          <w:tab w:val="left" w:pos="661" w:leader="none"/>
        </w:tabs>
        <w:spacing w:lineRule="exact" w:line="320"/>
        <w:rPr>
          <w:rFonts w:cs="Calibri" w:cstheme="minorHAnsi"/>
        </w:rPr>
      </w:pPr>
      <w:r>
        <w:rPr>
          <w:rFonts w:cs="Calibri" w:cstheme="minorHAnsi"/>
        </w:rPr>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5 – Profilo pluriennale di impegni e pagamenti</w:t>
      </w:r>
    </w:p>
    <w:p>
      <w:pPr>
        <w:pStyle w:val="ListParagraph"/>
        <w:numPr>
          <w:ilvl w:val="0"/>
          <w:numId w:val="15"/>
        </w:numPr>
        <w:tabs>
          <w:tab w:val="clear" w:pos="720"/>
          <w:tab w:val="left" w:pos="661" w:leader="none"/>
        </w:tabs>
        <w:spacing w:lineRule="exact" w:line="320"/>
        <w:rPr>
          <w:rFonts w:cs="Calibri" w:cstheme="minorHAnsi"/>
        </w:rPr>
      </w:pPr>
      <w:r>
        <w:rPr>
          <w:rFonts w:cs="Calibri" w:cstheme="minorHAnsi"/>
        </w:rPr>
        <w:t>Il Beneficiario si impegna al rispetto del profilo pluriennale di impegni e pagamenti di cui al paragrafo 8 dell’Allegato al presente Disciplinare.</w:t>
      </w:r>
    </w:p>
    <w:p>
      <w:pPr>
        <w:pStyle w:val="ListParagraph"/>
        <w:numPr>
          <w:ilvl w:val="0"/>
          <w:numId w:val="15"/>
        </w:numPr>
        <w:tabs>
          <w:tab w:val="clear" w:pos="720"/>
          <w:tab w:val="left" w:pos="661" w:leader="none"/>
        </w:tabs>
        <w:spacing w:lineRule="exact" w:line="320"/>
        <w:rPr>
          <w:rFonts w:cs="Calibri" w:cstheme="minorHAnsi"/>
        </w:rPr>
      </w:pPr>
      <w:r>
        <w:rPr>
          <w:rFonts w:cs="Calibri" w:cstheme="minorHAnsi"/>
        </w:rPr>
        <w:t>Nel caso di mancato rispetto dei termini temporali di impegno e spesa per ciascuna annualità, così come riveniente dal sistema di monitoraggio economico, finanziario, fisico e procedurale Caronte o comunque accertato dalla Regione, quest’ultima si riserva di avviare il procedimento di revoca del contributo finanziario concesso, salvo che il ritardo dipenda da causa di forza maggiore comprovata, da dimostrarsi dal Beneficiario entro 15 (quindici) giorni dalla ricezione della comunicazione di avvio del procedimento di revoca del contributo finanziario concesso. Si applica, al riguardo, quanto previsto dal comma 3 del precedente art. 3.</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6 – Spese ammissibili</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L’importo del contributo finanziario definitivamente concesso costituisce l’importo massimo a disposizione del Beneficiario ed è invariabile in aumento.</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Le spese ammissibili a contributo finanziario sono quelle definite, nel rispetto delle vigenti disposizioni comunitarie, nazionali e regionali, nel Programma e nella programmazione attuativa dell’Azione vigente al momento della pubblicazione dell’Avviso per la selezione delle operazioni da ammettere a contribuzione finanziaria.</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Nel solo caso di realizzazione di OOPP sono ammissibili le seguenti categorie di spesa:</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esecuzione dei lavori relativi alle opere, agli impianti, acquisto delle forniture e dei servizi connessi all’esecuzione stessa;</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acquisizione di immobili necessari per la realizzazione dell’opera nei limiti di quanto previsto ai successivi commi 5 e 6;</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indennità e contributi dovuti ad enti pubblici e privati come per legge (permessi, concessioni, autorizzazioni e/o altri atti e provvedimenti, comunque denominati, finalizzati all’esecuzione delle opere);</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spese generali;</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___</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Nel solo caso di realizzazione di OOPP: per spese generali, da prevedere nel quadro economico tra le somme a disposizione del Beneficiario, si intendono quelle relative alle seguenti voci previste dalla normativa vigente in materia di appalti:</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____</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____</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Nel solo caso di realizzazione di OOPP: le spese di esproprio e di acquisizione delle aree non edificate, ammissibili in presenza della sussistenza di un nesso diretto fra l’acquisizione delle aree e l’infrastruttura da realizzare, non possono superare il ___% del totale del contributo definitivamente erogato.</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Nel solo caso di realizzazione di OOPP: le spese per acquisto di edifici già costruiti sono ammissibili purché siano direttamene connesse alla realizzazione dell’Operazione ed esclusivamente nei limiti e alle condizioni di cui alle vigenti disposizioni comunitarie, nazionali e regionali.</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Nel solo caso di realizzazione di OOPP: le spese per rilievi, accertamenti e indagini, ivi comprese quelle geologiche e geotecniche non a carico del progettista, né necessarie alla redazione della relazione geologica, da prevedere nel quadro economico tra le somme a disposizione del Beneficiario, non possono superare il ___ % della spesa totale ammissibile dell’Operazione.</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Nel solo caso di realizzazione di OOPP: eventuali maggiori oneri che si dovessero verificare a titolo di spese generali o di acquisizione di immobili o di somme a disposizione del Beneficiario, rispetto a quelli precedentemente indicati ai commi 4, 5, 6 e 7, resteranno a carico del Beneficiario.</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Restano escluse dall'ammissibilità le spese per ammende, penali e controversie legali, nonché i maggiori oneri derivanti dalla risoluzione delle controversie sorte con l'impresa aggiudicataria, compresi gli accordi bonari e gli interessi per ritardati pagamenti.</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 xml:space="preserve"> </w:t>
      </w:r>
      <w:r>
        <w:rPr>
          <w:rFonts w:cs="Calibri" w:cstheme="minorHAnsi"/>
        </w:rPr>
        <w:t>L’imposta sul valore aggiunto (IVA) è una spesa ammissibile solo se non sia recuperabile.</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Per tutte le spese non specificate nel presente articolo o per la migliore specificazione di quelle indicate, si fa rinvio alle disposizioni di cui alle vigenti disposizioni comunitarie, nazionali e regionali.</w:t>
      </w:r>
    </w:p>
    <w:p>
      <w:pPr>
        <w:pStyle w:val="ListParagraph"/>
        <w:numPr>
          <w:ilvl w:val="0"/>
          <w:numId w:val="14"/>
        </w:numPr>
        <w:tabs>
          <w:tab w:val="clear" w:pos="720"/>
          <w:tab w:val="left" w:pos="661" w:leader="none"/>
        </w:tabs>
        <w:spacing w:lineRule="exact" w:line="320"/>
        <w:ind w:left="593" w:right="567" w:hanging="361"/>
        <w:rPr>
          <w:rFonts w:cs="Calibri" w:cstheme="minorHAnsi"/>
        </w:rPr>
      </w:pPr>
      <w:r>
        <w:rPr>
          <w:rFonts w:cs="Calibri" w:cstheme="minorHAnsi"/>
        </w:rPr>
        <w:t>Restano in ogni caso escluse e non potranno pertanto essere rimborsate tutte le spese non ammissibili a termini delle vigenti disposizioni comunitarie, nazionali e regionali.</w:t>
      </w:r>
    </w:p>
    <w:p>
      <w:pPr>
        <w:pStyle w:val="ListParagraph"/>
        <w:numPr>
          <w:ilvl w:val="0"/>
          <w:numId w:val="14"/>
        </w:numPr>
        <w:tabs>
          <w:tab w:val="clear" w:pos="720"/>
          <w:tab w:val="left" w:pos="661" w:leader="none"/>
        </w:tabs>
        <w:spacing w:lineRule="exact" w:line="320"/>
        <w:rPr>
          <w:rFonts w:cs="Calibri" w:cstheme="minorHAnsi"/>
        </w:rPr>
      </w:pPr>
      <w:r>
        <w:rPr>
          <w:rFonts w:cs="Calibri" w:cstheme="minorHAnsi"/>
        </w:rPr>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7 – Modalità di erogazione del contributo finanziario</w:t>
      </w:r>
    </w:p>
    <w:p>
      <w:pPr>
        <w:pStyle w:val="ListParagraph"/>
        <w:numPr>
          <w:ilvl w:val="0"/>
          <w:numId w:val="25"/>
        </w:numPr>
        <w:tabs>
          <w:tab w:val="clear" w:pos="720"/>
          <w:tab w:val="left" w:pos="661" w:leader="none"/>
        </w:tabs>
        <w:spacing w:lineRule="exact" w:line="320"/>
        <w:rPr>
          <w:rFonts w:cs="Calibri" w:cstheme="minorHAnsi"/>
        </w:rPr>
      </w:pPr>
      <w:r>
        <w:rPr>
          <w:rFonts w:cs="Calibri" w:cstheme="minorHAnsi"/>
        </w:rPr>
        <w:t>L'erogazione del contributo finanziario concesso avverrà, con le seguenti modalità, fatti salvi i tempi necessari per gli adempimenti contabili connessi all’approvazione del bilancio definitivo e dei correlati adempimenti per la messa in esecuzione del bilancio dell’esercizio finanziario di riferimento:</w:t>
      </w:r>
    </w:p>
    <w:p>
      <w:pPr>
        <w:pStyle w:val="ListParagraph"/>
        <w:numPr>
          <w:ilvl w:val="2"/>
          <w:numId w:val="24"/>
        </w:numPr>
        <w:tabs>
          <w:tab w:val="clear" w:pos="720"/>
          <w:tab w:val="left" w:pos="661" w:leader="none"/>
        </w:tabs>
        <w:spacing w:lineRule="exact" w:line="320"/>
        <w:ind w:left="1440" w:right="567" w:hanging="720"/>
        <w:rPr>
          <w:rFonts w:cs="Calibri" w:cstheme="minorHAnsi"/>
        </w:rPr>
      </w:pPr>
      <w:r>
        <w:rPr>
          <w:rFonts w:cs="Calibri" w:cstheme="minorHAnsi"/>
        </w:rPr>
        <w:t>una prima anticipazione, alle condizioni e nei limiti previsti dalla normativa in materia di contabilità pubblica e, comunque, fino ad un massimo del 30% del contributo pubblico concesso, a seguito dell’emanazione dell’atto di aggiudicazione, ancorché non efficace (ovverosia, nelle more della verifica dei requisiti di cui all’</w:t>
      </w:r>
      <w:r>
        <w:fldChar w:fldCharType="begin"/>
      </w:r>
      <w:r>
        <w:rPr>
          <w:rStyle w:val="CollegamentoInternet"/>
          <w:rFonts w:cs="Calibri"/>
        </w:rPr>
        <w:instrText xml:space="preserve"> HYPERLINK "https://www.bosettiegatti.eu/info/norme/statali/2016_0050.htm" \l "080"</w:instrText>
      </w:r>
      <w:r>
        <w:rPr>
          <w:rStyle w:val="CollegamentoInternet"/>
          <w:rFonts w:cs="Calibri"/>
        </w:rPr>
        <w:fldChar w:fldCharType="separate"/>
      </w:r>
      <w:r>
        <w:rPr>
          <w:rStyle w:val="CollegamentoInternet"/>
          <w:rFonts w:cs="Calibri" w:cstheme="minorHAnsi"/>
        </w:rPr>
        <w:t>articolo 80 del D.Lgs.50/2016</w:t>
      </w:r>
      <w:r>
        <w:rPr>
          <w:rStyle w:val="CollegamentoInternet"/>
          <w:rFonts w:cs="Calibri"/>
        </w:rPr>
        <w:fldChar w:fldCharType="end"/>
      </w:r>
      <w:r>
        <w:rPr>
          <w:rFonts w:cs="Calibri" w:cstheme="minorHAnsi"/>
        </w:rPr>
        <w:t>, nonché dei requisiti di qualificazione previsti per la partecipazione alla procedura), dell’appalto per acquisizione di beni/servizi da parte del soggetto beneficiario, su presentazione di apposita richiesta da parte del beneficiario;;</w:t>
      </w:r>
    </w:p>
    <w:p>
      <w:pPr>
        <w:pStyle w:val="ListParagraph"/>
        <w:numPr>
          <w:ilvl w:val="2"/>
          <w:numId w:val="24"/>
        </w:numPr>
        <w:tabs>
          <w:tab w:val="clear" w:pos="720"/>
          <w:tab w:val="left" w:pos="661" w:leader="none"/>
        </w:tabs>
        <w:spacing w:lineRule="exact" w:line="320"/>
        <w:ind w:left="1440" w:right="567" w:hanging="720"/>
        <w:rPr>
          <w:rFonts w:cs="Calibri" w:cstheme="minorHAnsi"/>
        </w:rPr>
      </w:pPr>
      <w:r>
        <w:rPr>
          <w:rFonts w:cs="Calibri" w:cstheme="minorHAnsi"/>
        </w:rPr>
        <w:t>pagamenti intermedi per un importo massimo di erogazione pari al 90 % dell’importo dell’Operazione, in questa compreso il pagamento della prima anticipazione. Tali pagamenti potranno essere concessi mediante una o più erogazioni di risorse da parte dell’Amministrazione regionale.</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t>Il numero di erogazioni connesse ai pagamenti intermedi e le loro quote percentuali saranno determinate dal Centro di Responsabilità in relazione alla tipologia di operazione ammessa a finanziamento ed ai vincoli di natura contrattuale fra il beneficiario ed i soggetti aggiudicatari delle procedure d’appalto per l’acquisizione dei beni/servizi.</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t>Le richieste di erogazione delle risorse da parte dei soggetti beneficiari dovranno comunque essere supportate da adeguata documentazione dalla quale emerga l’effettiva esigenza di acquisire gli ulteriori pagamenti;</w:t>
      </w:r>
    </w:p>
    <w:p>
      <w:pPr>
        <w:pStyle w:val="ListParagraph"/>
        <w:numPr>
          <w:ilvl w:val="2"/>
          <w:numId w:val="24"/>
        </w:numPr>
        <w:tabs>
          <w:tab w:val="clear" w:pos="720"/>
          <w:tab w:val="left" w:pos="661" w:leader="none"/>
        </w:tabs>
        <w:spacing w:lineRule="exact" w:line="320"/>
        <w:ind w:left="1440" w:right="567" w:hanging="720"/>
        <w:rPr>
          <w:rFonts w:cs="Calibri" w:cstheme="minorHAnsi"/>
        </w:rPr>
      </w:pPr>
      <w:r>
        <w:rPr>
          <w:rFonts w:cs="Calibri" w:cstheme="minorHAnsi"/>
        </w:rPr>
        <w:t xml:space="preserve">A seguito della trasmissione del certificato di verifica di conformità/collaudo - ovvero del certificato di regolare esecuzione - sarà erogata la quota di saldo, nella misura massima del 10% dell’importo dell’Operazione, previa verifica amministrativa della documentazione di spesa prodotta e della documentazione attestante l’ultimazione e la piena funzionalità dell’Operazione finanziata. </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t>Resta inteso che sarà facoltà del soggetto beneficiario, all’atto dell’emanazione del certificato di verifica di conformità/collaudo o di regolare esecuzione, procedere, in unica soluzione, con la contestuale richiesta sia di una quota di pagamento intermedio ancora non erogata che della quota di saldo.</w:t>
      </w:r>
    </w:p>
    <w:p>
      <w:pPr>
        <w:pStyle w:val="ListParagraph"/>
        <w:tabs>
          <w:tab w:val="clear" w:pos="720"/>
          <w:tab w:val="left" w:pos="661" w:leader="none"/>
        </w:tabs>
        <w:spacing w:lineRule="exact" w:line="320"/>
        <w:ind w:left="720" w:right="567" w:hanging="361"/>
        <w:rPr>
          <w:rFonts w:cs="Calibri" w:cstheme="minorHAnsi"/>
          <w:b/>
          <w:b/>
        </w:rPr>
      </w:pPr>
      <w:r>
        <w:rPr>
          <w:rFonts w:cs="Calibri" w:cstheme="minorHAnsi"/>
          <w:b/>
        </w:rPr>
      </w:r>
    </w:p>
    <w:p>
      <w:pPr>
        <w:pStyle w:val="ListParagraph"/>
        <w:numPr>
          <w:ilvl w:val="0"/>
          <w:numId w:val="25"/>
        </w:numPr>
        <w:tabs>
          <w:tab w:val="clear" w:pos="720"/>
          <w:tab w:val="left" w:pos="661" w:leader="none"/>
        </w:tabs>
        <w:spacing w:lineRule="exact" w:line="320"/>
        <w:rPr>
          <w:rFonts w:cs="Calibri" w:cstheme="minorHAnsi"/>
        </w:rPr>
      </w:pPr>
      <w:r>
        <w:rPr>
          <w:rFonts w:cs="Calibri" w:cstheme="minorHAnsi"/>
        </w:rPr>
        <w:t>Per l’erogazione della prima tranche di anticipazione, il Beneficiario dovrà presentare apposita richiesta di anticipazione redatta secondo il punto 6.3 del Manuale di Attuazione, approvato con D.G.R. n. 103 del 6 marzo 2017 e ss.mm.ii. .</w:t>
      </w:r>
    </w:p>
    <w:p>
      <w:pPr>
        <w:pStyle w:val="ListParagraph"/>
        <w:numPr>
          <w:ilvl w:val="0"/>
          <w:numId w:val="25"/>
        </w:numPr>
        <w:tabs>
          <w:tab w:val="clear" w:pos="720"/>
          <w:tab w:val="left" w:pos="661" w:leader="none"/>
        </w:tabs>
        <w:spacing w:lineRule="exact" w:line="320"/>
        <w:rPr>
          <w:rFonts w:cs="Calibri" w:cstheme="minorHAnsi"/>
        </w:rPr>
      </w:pPr>
      <w:r>
        <w:rPr>
          <w:rFonts w:cs="Calibri" w:cstheme="minorHAnsi"/>
        </w:rPr>
        <w:t>Prima della liquidazione del pagamento, l’U.C.O. competente dovrà acquisire l’esito positivo del controllo dell’UMC su tutti gli atti relativi alla procedura di selezione e alla successiva fase di adesione al Disciplinare di finanziamento, nonché verificare:</w:t>
      </w:r>
    </w:p>
    <w:p>
      <w:pPr>
        <w:pStyle w:val="ListParagraph"/>
        <w:numPr>
          <w:ilvl w:val="2"/>
          <w:numId w:val="26"/>
        </w:numPr>
        <w:tabs>
          <w:tab w:val="clear" w:pos="720"/>
          <w:tab w:val="left" w:pos="661" w:leader="none"/>
        </w:tabs>
        <w:spacing w:lineRule="exact" w:line="320"/>
        <w:ind w:left="1440" w:right="567" w:hanging="720"/>
        <w:rPr>
          <w:rFonts w:cs="Calibri" w:cstheme="minorHAnsi"/>
        </w:rPr>
      </w:pPr>
      <w:r>
        <w:rPr>
          <w:rFonts w:cs="Calibri" w:cstheme="minorHAnsi"/>
        </w:rPr>
        <w:t>il rispetto della normativa in vigore sulla tracciabilità dei flussi finanziari;</w:t>
      </w:r>
    </w:p>
    <w:p>
      <w:pPr>
        <w:pStyle w:val="ListParagraph"/>
        <w:numPr>
          <w:ilvl w:val="2"/>
          <w:numId w:val="26"/>
        </w:numPr>
        <w:tabs>
          <w:tab w:val="clear" w:pos="720"/>
          <w:tab w:val="left" w:pos="661" w:leader="none"/>
        </w:tabs>
        <w:spacing w:lineRule="exact" w:line="320"/>
        <w:ind w:left="1440" w:right="567" w:hanging="720"/>
        <w:rPr>
          <w:rFonts w:cs="Calibri" w:cstheme="minorHAnsi"/>
        </w:rPr>
      </w:pPr>
      <w:r>
        <w:rPr>
          <w:rFonts w:cs="Calibri" w:cstheme="minorHAnsi"/>
        </w:rPr>
        <w:t>che siano stati assolti dal Beneficiario gli obblighi in materia di monitoraggio economico, finanziario, fisico e procedurale, essendo la liquidazione del pagamento subordinata al corretto allineamento di Caronte.</w:t>
      </w:r>
    </w:p>
    <w:p>
      <w:pPr>
        <w:pStyle w:val="ListParagraph"/>
        <w:numPr>
          <w:ilvl w:val="0"/>
          <w:numId w:val="25"/>
        </w:numPr>
        <w:tabs>
          <w:tab w:val="clear" w:pos="720"/>
          <w:tab w:val="left" w:pos="661" w:leader="none"/>
        </w:tabs>
        <w:spacing w:lineRule="exact" w:line="320"/>
        <w:rPr>
          <w:rFonts w:cs="Calibri" w:cstheme="minorHAnsi"/>
        </w:rPr>
      </w:pPr>
      <w:r>
        <w:rPr>
          <w:rFonts w:cs="Calibri" w:cstheme="minorHAnsi"/>
        </w:rPr>
        <w:t>La documentazione da presentare per la richiesta delle erogazioni successive di importo (ciascun pagamento) non inferiore al 10% e (in totale) fino a un massimo del 90% del contributo pubblico concesso, al netto dell’anticipazione già erogata, è la seguente:</w:t>
      </w:r>
    </w:p>
    <w:p>
      <w:pPr>
        <w:pStyle w:val="ListParagraph"/>
        <w:numPr>
          <w:ilvl w:val="0"/>
          <w:numId w:val="21"/>
        </w:numPr>
        <w:tabs>
          <w:tab w:val="clear" w:pos="720"/>
          <w:tab w:val="left" w:pos="661" w:leader="none"/>
        </w:tabs>
        <w:spacing w:lineRule="exact" w:line="320"/>
        <w:ind w:left="953" w:right="567" w:hanging="360"/>
        <w:rPr>
          <w:rFonts w:cs="Calibri" w:cstheme="minorHAnsi"/>
        </w:rPr>
      </w:pPr>
      <w:r>
        <w:rPr>
          <w:rFonts w:cs="Calibri" w:cstheme="minorHAnsi"/>
        </w:rPr>
        <w:t>richiesta di pagamento intermedio redatta secondo il punto 6.4 del Manuale di Attuazione, approvato con D.G.R. n. 103 del 6 marzo 2017 e ss.mm. e ii.;</w:t>
      </w:r>
    </w:p>
    <w:p>
      <w:pPr>
        <w:pStyle w:val="ListParagraph"/>
        <w:numPr>
          <w:ilvl w:val="0"/>
          <w:numId w:val="21"/>
        </w:numPr>
        <w:tabs>
          <w:tab w:val="clear" w:pos="720"/>
          <w:tab w:val="left" w:pos="661" w:leader="none"/>
        </w:tabs>
        <w:spacing w:lineRule="exact" w:line="320"/>
        <w:ind w:left="953" w:right="567" w:hanging="360"/>
        <w:rPr>
          <w:rFonts w:cs="Calibri" w:cstheme="minorHAnsi"/>
        </w:rPr>
      </w:pPr>
      <w:r>
        <w:rPr>
          <w:rFonts w:cs="Calibri" w:cstheme="minorHAnsi"/>
        </w:rPr>
        <w:t>dichiarazione con cui il Beneficiario attesta che:</w:t>
      </w:r>
    </w:p>
    <w:p>
      <w:pPr>
        <w:pStyle w:val="ListParagraph"/>
        <w:numPr>
          <w:ilvl w:val="1"/>
          <w:numId w:val="21"/>
        </w:numPr>
        <w:tabs>
          <w:tab w:val="clear" w:pos="720"/>
          <w:tab w:val="left" w:pos="661" w:leader="none"/>
        </w:tabs>
        <w:spacing w:lineRule="exact" w:line="320"/>
        <w:ind w:left="1673" w:right="567" w:hanging="476"/>
        <w:rPr>
          <w:rFonts w:cs="Calibri" w:cstheme="minorHAnsi"/>
        </w:rPr>
      </w:pPr>
      <w:r>
        <w:rPr>
          <w:rFonts w:cs="Calibri" w:cstheme="minorHAnsi"/>
        </w:rPr>
        <w:t>sono stati rispettati tutti i regolamenti e le norme UE applicabili, tra cui quelle riguardanti gli obblighi in materia di appalti, concorrenza, aiuti di Stato, informazione e pubblicità, tutela dell’ambiente e pari opportunità;</w:t>
      </w:r>
    </w:p>
    <w:p>
      <w:pPr>
        <w:pStyle w:val="ListParagraph"/>
        <w:numPr>
          <w:ilvl w:val="1"/>
          <w:numId w:val="21"/>
        </w:numPr>
        <w:tabs>
          <w:tab w:val="clear" w:pos="720"/>
          <w:tab w:val="left" w:pos="661" w:leader="none"/>
        </w:tabs>
        <w:spacing w:lineRule="exact" w:line="320"/>
        <w:ind w:left="1673" w:right="567" w:hanging="476"/>
        <w:rPr>
          <w:rFonts w:cs="Calibri" w:cstheme="minorHAnsi"/>
        </w:rPr>
      </w:pPr>
      <w:r>
        <w:rPr>
          <w:rFonts w:cs="Calibri" w:cstheme="minorHAnsi"/>
        </w:rPr>
        <w:t>sono state adempiute tutte le prescrizioni di legge nazionale e regionale, ivi comprese quelle in materia fiscale, in materia di contrasto al lavoro non regolare, nonché le altre disposizioni nazionali e regionali in materia di trasparenza dell’azione amministrativa, di tracciabilità dei pagamenti, di contrasto alla criminalità organizzata e di anticorruzione ex lege n. 190/2010;</w:t>
      </w:r>
    </w:p>
    <w:p>
      <w:pPr>
        <w:pStyle w:val="ListParagraph"/>
        <w:numPr>
          <w:ilvl w:val="1"/>
          <w:numId w:val="21"/>
        </w:numPr>
        <w:tabs>
          <w:tab w:val="clear" w:pos="720"/>
          <w:tab w:val="left" w:pos="661" w:leader="none"/>
        </w:tabs>
        <w:spacing w:lineRule="exact" w:line="320"/>
        <w:ind w:left="1673" w:right="567" w:hanging="476"/>
        <w:rPr>
          <w:rFonts w:cs="Calibri" w:cstheme="minorHAnsi"/>
        </w:rPr>
      </w:pPr>
      <w:r>
        <w:rPr>
          <w:rFonts w:cs="Calibri" w:cstheme="minorHAnsi"/>
        </w:rPr>
        <w:t>l’avanzamento dell’Operazione è coerente e conforme alle previsioni del cronoprogramma allegato al Disciplinare di finanziamento;</w:t>
      </w:r>
    </w:p>
    <w:p>
      <w:pPr>
        <w:pStyle w:val="ListParagraph"/>
        <w:numPr>
          <w:ilvl w:val="1"/>
          <w:numId w:val="21"/>
        </w:numPr>
        <w:tabs>
          <w:tab w:val="clear" w:pos="720"/>
          <w:tab w:val="left" w:pos="661" w:leader="none"/>
        </w:tabs>
        <w:spacing w:lineRule="exact" w:line="320"/>
        <w:ind w:left="1673" w:right="567" w:hanging="476"/>
        <w:rPr>
          <w:rFonts w:cs="Calibri" w:cstheme="minorHAnsi"/>
        </w:rPr>
      </w:pPr>
      <w:r>
        <w:rPr>
          <w:rFonts w:cs="Calibri" w:cstheme="minorHAnsi"/>
        </w:rPr>
        <w:t>la spesa sostenuta è ammissibile, pertinente e congrua, ed è stata effettuata entro i termini di ammissibilità a rimborso comunitario;</w:t>
      </w:r>
    </w:p>
    <w:p>
      <w:pPr>
        <w:pStyle w:val="ListParagraph"/>
        <w:numPr>
          <w:ilvl w:val="1"/>
          <w:numId w:val="21"/>
        </w:numPr>
        <w:tabs>
          <w:tab w:val="clear" w:pos="720"/>
          <w:tab w:val="left" w:pos="661" w:leader="none"/>
        </w:tabs>
        <w:spacing w:lineRule="exact" w:line="320"/>
        <w:ind w:left="1673" w:right="567" w:hanging="476"/>
        <w:rPr>
          <w:rFonts w:cs="Calibri" w:cstheme="minorHAnsi"/>
        </w:rPr>
      </w:pPr>
      <w:r>
        <w:rPr>
          <w:rFonts w:cs="Calibri" w:cstheme="minorHAnsi"/>
        </w:rPr>
        <w:t>non sono stati ottenuti, né richiesti ulteriori rimborsi, contributi ed integrazioni di altri soggetti, pubblici o privati, nazionali, regionali, provinciali e/o comunitari (ovvero sono stati ottenuti o richiesti quali e in quale misura e su quali spese);</w:t>
      </w:r>
    </w:p>
    <w:p>
      <w:pPr>
        <w:pStyle w:val="ListParagraph"/>
        <w:numPr>
          <w:ilvl w:val="1"/>
          <w:numId w:val="21"/>
        </w:numPr>
        <w:tabs>
          <w:tab w:val="clear" w:pos="720"/>
          <w:tab w:val="left" w:pos="661" w:leader="none"/>
        </w:tabs>
        <w:spacing w:lineRule="exact" w:line="320"/>
        <w:ind w:left="1673" w:right="567" w:hanging="476"/>
        <w:rPr>
          <w:rFonts w:cs="Calibri" w:cstheme="minorHAnsi"/>
        </w:rPr>
      </w:pPr>
      <w:r>
        <w:rPr>
          <w:rFonts w:cs="Calibri" w:cstheme="minorHAnsi"/>
        </w:rPr>
        <w:t>sono stati trasmessi alla Regione i dati di monitoraggio economico,  finanziario, fisico e procedurale e sono stati imputati nel sistema informativo locale Caronte gli atti e la documentazione relativi alle varie fasi di realizzazione dell'Operazione.</w:t>
      </w:r>
    </w:p>
    <w:p>
      <w:pPr>
        <w:pStyle w:val="ListParagraph"/>
        <w:numPr>
          <w:ilvl w:val="0"/>
          <w:numId w:val="21"/>
        </w:numPr>
        <w:tabs>
          <w:tab w:val="clear" w:pos="720"/>
          <w:tab w:val="left" w:pos="661" w:leader="none"/>
        </w:tabs>
        <w:spacing w:lineRule="exact" w:line="320"/>
        <w:ind w:left="953" w:right="567" w:hanging="360"/>
        <w:rPr>
          <w:rFonts w:cs="Calibri" w:cstheme="minorHAnsi"/>
        </w:rPr>
      </w:pPr>
      <w:r>
        <w:rPr>
          <w:rFonts w:cs="Calibri" w:cstheme="minorHAnsi"/>
        </w:rPr>
        <w:t>Il prospetto riepilogativo delle spese sostenute, secondo il punto 6.5 del Manuale di Attuazione, approvato con D.G.R. n. 103 del 6 marzo 2017 e ss.mm. e ii. articolato nelle voci del quadro economico risultante dal Decreto di Finanziamento;</w:t>
      </w:r>
    </w:p>
    <w:p>
      <w:pPr>
        <w:pStyle w:val="ListParagraph"/>
        <w:numPr>
          <w:ilvl w:val="0"/>
          <w:numId w:val="21"/>
        </w:numPr>
        <w:tabs>
          <w:tab w:val="clear" w:pos="720"/>
          <w:tab w:val="left" w:pos="661" w:leader="none"/>
        </w:tabs>
        <w:spacing w:lineRule="exact" w:line="320"/>
        <w:ind w:left="953" w:right="567" w:hanging="360"/>
        <w:rPr>
          <w:rFonts w:cs="Calibri" w:cstheme="minorHAnsi"/>
        </w:rPr>
      </w:pPr>
      <w:r>
        <w:rPr>
          <w:rFonts w:cs="Calibri" w:cstheme="minorHAnsi"/>
        </w:rPr>
        <w:t>documentazione giustificativa della spesa;</w:t>
      </w:r>
    </w:p>
    <w:p>
      <w:pPr>
        <w:pStyle w:val="ListParagraph"/>
        <w:numPr>
          <w:ilvl w:val="0"/>
          <w:numId w:val="25"/>
        </w:numPr>
        <w:tabs>
          <w:tab w:val="clear" w:pos="720"/>
          <w:tab w:val="left" w:pos="661" w:leader="none"/>
        </w:tabs>
        <w:spacing w:lineRule="exact" w:line="320"/>
        <w:ind w:left="593" w:right="567" w:hanging="361"/>
        <w:rPr>
          <w:rFonts w:cs="Calibri" w:cstheme="minorHAnsi"/>
        </w:rPr>
      </w:pPr>
      <w:r>
        <w:rPr>
          <w:rFonts w:cs="Calibri" w:cstheme="minorHAnsi"/>
        </w:rPr>
        <w:t>Prima della liquidazione del pagamento, il Servizio verificherà:</w:t>
      </w:r>
    </w:p>
    <w:p>
      <w:pPr>
        <w:pStyle w:val="ListParagraph"/>
        <w:numPr>
          <w:ilvl w:val="0"/>
          <w:numId w:val="22"/>
        </w:numPr>
        <w:tabs>
          <w:tab w:val="clear" w:pos="720"/>
          <w:tab w:val="left" w:pos="661" w:leader="none"/>
        </w:tabs>
        <w:spacing w:lineRule="exact" w:line="320"/>
        <w:ind w:left="953" w:right="567" w:hanging="360"/>
        <w:rPr>
          <w:rFonts w:cs="Calibri" w:cstheme="minorHAnsi"/>
        </w:rPr>
      </w:pPr>
      <w:r>
        <w:rPr>
          <w:rFonts w:cs="Calibri" w:cstheme="minorHAnsi"/>
        </w:rPr>
        <w:t>il rispetto della normativa in vigore sulla tracciabilità dei flussi finanziari;</w:t>
      </w:r>
    </w:p>
    <w:p>
      <w:pPr>
        <w:pStyle w:val="ListParagraph"/>
        <w:numPr>
          <w:ilvl w:val="0"/>
          <w:numId w:val="22"/>
        </w:numPr>
        <w:tabs>
          <w:tab w:val="clear" w:pos="720"/>
          <w:tab w:val="left" w:pos="661" w:leader="none"/>
        </w:tabs>
        <w:spacing w:lineRule="exact" w:line="320"/>
        <w:ind w:left="953" w:right="567" w:hanging="360"/>
        <w:rPr>
          <w:rFonts w:cs="Calibri" w:cstheme="minorHAnsi"/>
        </w:rPr>
      </w:pPr>
      <w:r>
        <w:rPr>
          <w:rFonts w:cs="Calibri" w:cstheme="minorHAnsi"/>
        </w:rPr>
        <w:t>che siano stati assolti dal Beneficiario gli obblighi in materia di monitoraggio economico, finanziario, fisico e procedurale, essendo la liquidazione del pagamento subordinata al corretto allineamento di Caronte.</w:t>
      </w:r>
    </w:p>
    <w:p>
      <w:pPr>
        <w:pStyle w:val="ListParagraph"/>
        <w:numPr>
          <w:ilvl w:val="0"/>
          <w:numId w:val="25"/>
        </w:numPr>
        <w:tabs>
          <w:tab w:val="clear" w:pos="720"/>
          <w:tab w:val="left" w:pos="661" w:leader="none"/>
        </w:tabs>
        <w:spacing w:lineRule="exact" w:line="320"/>
        <w:ind w:left="593" w:right="567" w:hanging="361"/>
        <w:rPr>
          <w:rFonts w:cs="Calibri" w:cstheme="minorHAnsi"/>
        </w:rPr>
      </w:pPr>
      <w:r>
        <w:rPr>
          <w:rFonts w:cs="Calibri" w:cstheme="minorHAnsi"/>
        </w:rPr>
        <w:t>La documentazione da presentare per la richiesta di erogazione del residuo 10% a saldo è la seguente:</w:t>
      </w:r>
    </w:p>
    <w:p>
      <w:pPr>
        <w:pStyle w:val="ListParagraph"/>
        <w:numPr>
          <w:ilvl w:val="0"/>
          <w:numId w:val="23"/>
        </w:numPr>
        <w:tabs>
          <w:tab w:val="clear" w:pos="720"/>
          <w:tab w:val="left" w:pos="661" w:leader="none"/>
        </w:tabs>
        <w:spacing w:lineRule="exact" w:line="320"/>
        <w:ind w:left="953" w:right="567" w:hanging="360"/>
        <w:rPr>
          <w:rFonts w:cs="Calibri" w:cstheme="minorHAnsi"/>
        </w:rPr>
      </w:pPr>
      <w:r>
        <w:rPr>
          <w:rFonts w:cs="Calibri" w:cstheme="minorHAnsi"/>
        </w:rPr>
        <w:t>richiesta di pagamento a saldo secondo il punto 6.6 del Manuale di Attuazione, approvato con D.G.R. n. 103 del 6 marzo 2017 e ss.mm. e ii.;</w:t>
      </w:r>
    </w:p>
    <w:p>
      <w:pPr>
        <w:pStyle w:val="ListParagraph"/>
        <w:numPr>
          <w:ilvl w:val="0"/>
          <w:numId w:val="23"/>
        </w:numPr>
        <w:tabs>
          <w:tab w:val="clear" w:pos="720"/>
          <w:tab w:val="left" w:pos="661" w:leader="none"/>
        </w:tabs>
        <w:spacing w:lineRule="exact" w:line="320"/>
        <w:ind w:left="953" w:right="567" w:hanging="360"/>
        <w:rPr>
          <w:rFonts w:cs="Calibri" w:cstheme="minorHAnsi"/>
        </w:rPr>
      </w:pPr>
      <w:r>
        <w:rPr>
          <w:rFonts w:cs="Calibri" w:cstheme="minorHAnsi"/>
        </w:rPr>
        <w:t>dichiarazione di cui al precedente comma 4, lett. b);</w:t>
      </w:r>
    </w:p>
    <w:p>
      <w:pPr>
        <w:pStyle w:val="ListParagraph"/>
        <w:numPr>
          <w:ilvl w:val="0"/>
          <w:numId w:val="23"/>
        </w:numPr>
        <w:tabs>
          <w:tab w:val="clear" w:pos="720"/>
          <w:tab w:val="left" w:pos="661" w:leader="none"/>
        </w:tabs>
        <w:spacing w:lineRule="exact" w:line="320"/>
        <w:ind w:left="953" w:right="567" w:hanging="360"/>
        <w:rPr>
          <w:rFonts w:cs="Calibri" w:cstheme="minorHAnsi"/>
        </w:rPr>
      </w:pPr>
      <w:r>
        <w:rPr>
          <w:rFonts w:cs="Calibri" w:cstheme="minorHAnsi"/>
        </w:rPr>
        <w:t>ulteriore dichiarazione con cui il Beneficiario:</w:t>
      </w:r>
    </w:p>
    <w:p>
      <w:pPr>
        <w:pStyle w:val="ListParagraph"/>
        <w:numPr>
          <w:ilvl w:val="1"/>
          <w:numId w:val="23"/>
        </w:numPr>
        <w:tabs>
          <w:tab w:val="clear" w:pos="720"/>
          <w:tab w:val="left" w:pos="661" w:leader="none"/>
        </w:tabs>
        <w:spacing w:lineRule="exact" w:line="320"/>
        <w:ind w:left="1673" w:right="567" w:hanging="476"/>
        <w:rPr>
          <w:rFonts w:cs="Calibri" w:cstheme="minorHAnsi"/>
        </w:rPr>
      </w:pPr>
      <w:r>
        <w:rPr>
          <w:rFonts w:cs="Calibri" w:cstheme="minorHAnsi"/>
        </w:rPr>
        <w:t>attesta che trattasi della rendicontazione finale dell’Operazione;</w:t>
      </w:r>
    </w:p>
    <w:p>
      <w:pPr>
        <w:pStyle w:val="ListParagraph"/>
        <w:numPr>
          <w:ilvl w:val="1"/>
          <w:numId w:val="23"/>
        </w:numPr>
        <w:tabs>
          <w:tab w:val="clear" w:pos="720"/>
          <w:tab w:val="left" w:pos="661" w:leader="none"/>
        </w:tabs>
        <w:spacing w:lineRule="exact" w:line="320"/>
        <w:ind w:left="1673" w:right="567" w:hanging="476"/>
        <w:rPr>
          <w:rFonts w:cs="Calibri" w:cstheme="minorHAnsi"/>
        </w:rPr>
      </w:pPr>
      <w:r>
        <w:rPr>
          <w:rFonts w:cs="Calibri" w:cstheme="minorHAnsi"/>
        </w:rPr>
        <w:t>attesta il completamento delle attività progettuali è avvenuto nel rispetto degli obiettivi dell’Operazione e dell’Azione prefissati;</w:t>
      </w:r>
    </w:p>
    <w:p>
      <w:pPr>
        <w:pStyle w:val="ListParagraph"/>
        <w:numPr>
          <w:ilvl w:val="1"/>
          <w:numId w:val="23"/>
        </w:numPr>
        <w:tabs>
          <w:tab w:val="clear" w:pos="720"/>
          <w:tab w:val="left" w:pos="661" w:leader="none"/>
        </w:tabs>
        <w:spacing w:lineRule="exact" w:line="320"/>
        <w:ind w:left="1673" w:right="567" w:hanging="476"/>
        <w:rPr>
          <w:rFonts w:cs="Calibri" w:cstheme="minorHAnsi"/>
        </w:rPr>
      </w:pPr>
      <w:r>
        <w:rPr>
          <w:rFonts w:cs="Calibri" w:cstheme="minorHAnsi"/>
        </w:rPr>
        <w:t>attesta che l’Operazione è in uso e funzionante, come attestato da idonea documentazione probante da produrre contestualmente;</w:t>
      </w:r>
    </w:p>
    <w:p>
      <w:pPr>
        <w:pStyle w:val="ListParagraph"/>
        <w:numPr>
          <w:ilvl w:val="1"/>
          <w:numId w:val="23"/>
        </w:numPr>
        <w:tabs>
          <w:tab w:val="clear" w:pos="720"/>
          <w:tab w:val="left" w:pos="661" w:leader="none"/>
        </w:tabs>
        <w:spacing w:lineRule="exact" w:line="320"/>
        <w:ind w:left="1673" w:right="567" w:hanging="476"/>
        <w:rPr>
          <w:rFonts w:cs="Calibri" w:cstheme="minorHAnsi"/>
        </w:rPr>
      </w:pPr>
      <w:r>
        <w:rPr>
          <w:rFonts w:cs="Calibri" w:cstheme="minorHAnsi"/>
        </w:rPr>
        <w:t>attesta di essere consapevole che altre eventuali spese, sostenute nei termini temporali di ammissibilità delle spese dell’Operazione e ad essa riconducibili, ma non riportate nella rendicontazione finale, non saranno oggetto di ulteriori e successive richieste di contributo.</w:t>
      </w:r>
    </w:p>
    <w:p>
      <w:pPr>
        <w:pStyle w:val="ListParagraph"/>
        <w:numPr>
          <w:ilvl w:val="0"/>
          <w:numId w:val="23"/>
        </w:numPr>
        <w:tabs>
          <w:tab w:val="clear" w:pos="720"/>
          <w:tab w:val="left" w:pos="661" w:leader="none"/>
        </w:tabs>
        <w:spacing w:lineRule="exact" w:line="320"/>
        <w:ind w:left="953" w:right="567" w:hanging="360"/>
        <w:rPr>
          <w:rFonts w:cs="Calibri" w:cstheme="minorHAnsi"/>
        </w:rPr>
      </w:pPr>
      <w:r>
        <w:rPr>
          <w:rFonts w:cs="Calibri" w:cstheme="minorHAnsi"/>
        </w:rPr>
        <w:t>certificato di verifica di conformità/collaudo, ovvero certificato di regolare esecuzione ove ne ricorrano i presupposti della vigente disciplina nazionale;</w:t>
      </w:r>
    </w:p>
    <w:p>
      <w:pPr>
        <w:pStyle w:val="ListParagraph"/>
        <w:numPr>
          <w:ilvl w:val="0"/>
          <w:numId w:val="23"/>
        </w:numPr>
        <w:tabs>
          <w:tab w:val="clear" w:pos="720"/>
          <w:tab w:val="left" w:pos="661" w:leader="none"/>
        </w:tabs>
        <w:spacing w:lineRule="exact" w:line="320"/>
        <w:ind w:left="953" w:right="567" w:hanging="360"/>
        <w:rPr>
          <w:rFonts w:cs="Calibri" w:cstheme="minorHAnsi"/>
        </w:rPr>
      </w:pPr>
      <w:r>
        <w:rPr>
          <w:rFonts w:cs="Calibri" w:cstheme="minorHAnsi"/>
        </w:rPr>
        <w:t>prospetto riepilogativo delle spese sostenute, secondo l’Allegato 6.5 del Manuale di Attuazione, approvato con D.G.R. n. 103 del 6 marzo 2017 e ss.mm. e ii. articolato nelle voci del quadro economico risultante dall’ultimo Decreto di finanziamento;</w:t>
      </w:r>
    </w:p>
    <w:p>
      <w:pPr>
        <w:pStyle w:val="ListParagraph"/>
        <w:numPr>
          <w:ilvl w:val="0"/>
          <w:numId w:val="23"/>
        </w:numPr>
        <w:tabs>
          <w:tab w:val="clear" w:pos="720"/>
          <w:tab w:val="left" w:pos="661" w:leader="none"/>
        </w:tabs>
        <w:spacing w:lineRule="exact" w:line="320"/>
        <w:ind w:left="953" w:right="567" w:hanging="360"/>
        <w:rPr>
          <w:rFonts w:cs="Calibri" w:cstheme="minorHAnsi"/>
        </w:rPr>
      </w:pPr>
      <w:r>
        <w:rPr>
          <w:rFonts w:cs="Calibri" w:cstheme="minorHAnsi"/>
        </w:rPr>
        <w:t>documentazione giustificativa della spesa;</w:t>
      </w:r>
    </w:p>
    <w:p>
      <w:pPr>
        <w:pStyle w:val="ListParagraph"/>
        <w:numPr>
          <w:ilvl w:val="0"/>
          <w:numId w:val="23"/>
        </w:numPr>
        <w:tabs>
          <w:tab w:val="clear" w:pos="720"/>
          <w:tab w:val="left" w:pos="661" w:leader="none"/>
        </w:tabs>
        <w:spacing w:lineRule="exact" w:line="320"/>
        <w:ind w:left="953" w:right="567" w:hanging="360"/>
        <w:rPr>
          <w:rFonts w:cs="Calibri" w:cstheme="minorHAnsi"/>
        </w:rPr>
      </w:pPr>
      <w:r>
        <w:rPr>
          <w:rFonts w:cs="Calibri" w:cstheme="minorHAnsi"/>
        </w:rPr>
        <w:t>atto dell’Ente Beneficiario che approvi gli atti finali ed il collaudo o certificato di regolare esecuzione dell’opera.</w:t>
      </w:r>
    </w:p>
    <w:p>
      <w:pPr>
        <w:pStyle w:val="ListParagraph"/>
        <w:numPr>
          <w:ilvl w:val="0"/>
          <w:numId w:val="25"/>
        </w:numPr>
        <w:tabs>
          <w:tab w:val="clear" w:pos="720"/>
          <w:tab w:val="left" w:pos="661" w:leader="none"/>
        </w:tabs>
        <w:spacing w:lineRule="exact" w:line="320"/>
        <w:ind w:left="593" w:right="567" w:hanging="361"/>
        <w:rPr>
          <w:rFonts w:cs="Calibri" w:cstheme="minorHAnsi"/>
        </w:rPr>
      </w:pPr>
      <w:r>
        <w:rPr>
          <w:rFonts w:cs="Calibri" w:cstheme="minorHAnsi"/>
        </w:rPr>
        <w:t>Prima della liquidazione del pagamento l’U.C.O. competente verificherà:</w:t>
      </w:r>
    </w:p>
    <w:p>
      <w:pPr>
        <w:pStyle w:val="ListParagraph"/>
        <w:numPr>
          <w:ilvl w:val="0"/>
          <w:numId w:val="13"/>
        </w:numPr>
        <w:tabs>
          <w:tab w:val="clear" w:pos="720"/>
          <w:tab w:val="left" w:pos="661" w:leader="none"/>
        </w:tabs>
        <w:spacing w:lineRule="exact" w:line="320"/>
        <w:ind w:left="953" w:right="567" w:hanging="360"/>
        <w:rPr>
          <w:rFonts w:cs="Calibri" w:cstheme="minorHAnsi"/>
        </w:rPr>
      </w:pPr>
      <w:r>
        <w:rPr>
          <w:rFonts w:cs="Calibri" w:cstheme="minorHAnsi"/>
        </w:rPr>
        <w:t>il rispetto della normativa in vigore sulla tracciabilità dei flussi finanziari;</w:t>
      </w:r>
    </w:p>
    <w:p>
      <w:pPr>
        <w:pStyle w:val="ListParagraph"/>
        <w:numPr>
          <w:ilvl w:val="0"/>
          <w:numId w:val="13"/>
        </w:numPr>
        <w:tabs>
          <w:tab w:val="clear" w:pos="720"/>
          <w:tab w:val="left" w:pos="661" w:leader="none"/>
        </w:tabs>
        <w:spacing w:lineRule="exact" w:line="320"/>
        <w:ind w:left="953" w:right="567" w:hanging="360"/>
        <w:rPr>
          <w:rFonts w:cs="Calibri" w:cstheme="minorHAnsi"/>
        </w:rPr>
      </w:pPr>
      <w:r>
        <w:rPr>
          <w:rFonts w:cs="Calibri" w:cstheme="minorHAnsi"/>
        </w:rPr>
        <w:t>che siano stati assolti dal Beneficiario gli obblighi in materia di monitoraggio economico, finanziario, fisico e procedurale, essendo la liquidazione del pagamento subordinata al corretto allineamento di Caronte.</w:t>
      </w:r>
    </w:p>
    <w:p>
      <w:pPr>
        <w:pStyle w:val="ListParagraph"/>
        <w:numPr>
          <w:ilvl w:val="0"/>
          <w:numId w:val="25"/>
        </w:numPr>
        <w:tabs>
          <w:tab w:val="clear" w:pos="720"/>
          <w:tab w:val="left" w:pos="661" w:leader="none"/>
        </w:tabs>
        <w:spacing w:lineRule="exact" w:line="320"/>
        <w:rPr>
          <w:rFonts w:cs="Calibri" w:cstheme="minorHAnsi"/>
        </w:rPr>
      </w:pPr>
      <w:r>
        <w:rPr>
          <w:rFonts w:cs="Calibri" w:cstheme="minorHAnsi"/>
        </w:rPr>
        <w:t xml:space="preserve">L’intera documentazione di spesa dovrà essere annullata con la dicitura non cancellabile: </w:t>
      </w:r>
      <w:r>
        <w:rPr>
          <w:rFonts w:cs="Calibri" w:cstheme="minorHAnsi"/>
          <w:b/>
        </w:rPr>
        <w:t xml:space="preserve">“Documento contabile finanziato a valere sul Programma Operativo Regionale Siciliana FESR 2014-2020 – ammesso per l’intero importo o per l’importo di euro </w:t>
      </w:r>
      <w:r>
        <w:rPr>
          <w:rFonts w:cs="Calibri" w:cstheme="minorHAnsi"/>
        </w:rPr>
        <w:t>_____________”.</w:t>
      </w:r>
    </w:p>
    <w:p>
      <w:pPr>
        <w:pStyle w:val="ListParagraph"/>
        <w:tabs>
          <w:tab w:val="clear" w:pos="720"/>
          <w:tab w:val="left" w:pos="661" w:leader="none"/>
        </w:tabs>
        <w:spacing w:lineRule="exact" w:line="320"/>
        <w:ind w:left="720" w:hanging="361"/>
        <w:rPr>
          <w:rFonts w:cs="Calibri" w:cstheme="minorHAnsi"/>
          <w:b/>
          <w:b/>
        </w:rPr>
      </w:pPr>
      <w:r>
        <w:rPr>
          <w:rFonts w:cs="Calibri" w:cstheme="minorHAnsi"/>
          <w:b/>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8 - Rendicontazione</w:t>
      </w:r>
    </w:p>
    <w:p>
      <w:pPr>
        <w:pStyle w:val="ListParagraph"/>
        <w:numPr>
          <w:ilvl w:val="0"/>
          <w:numId w:val="12"/>
        </w:numPr>
        <w:tabs>
          <w:tab w:val="clear" w:pos="720"/>
          <w:tab w:val="left" w:pos="661" w:leader="none"/>
        </w:tabs>
        <w:spacing w:lineRule="exact" w:line="320"/>
        <w:rPr>
          <w:rFonts w:cs="Calibri" w:cstheme="minorHAnsi"/>
        </w:rPr>
      </w:pPr>
      <w:r>
        <w:rPr>
          <w:rFonts w:cs="Calibri" w:cstheme="minorHAnsi"/>
        </w:rPr>
        <w:t>Il Beneficiario è tenuto a rendicontare la spesa sostenuta e quietanzata tramite il sistema di monitoraggio economico, finanziario, fisico e procedurale Caronte, messo a disposizione dalla Regione, utilizzando le credenziali ricevute unitamente alla notifica del Decreto di finanziamento, ovvero attraverso l’utilizzo di appositi moduli di modelli messi a disposizione dalla Regione.</w:t>
      </w:r>
    </w:p>
    <w:p>
      <w:pPr>
        <w:pStyle w:val="ListParagraph"/>
        <w:numPr>
          <w:ilvl w:val="0"/>
          <w:numId w:val="12"/>
        </w:numPr>
        <w:tabs>
          <w:tab w:val="clear" w:pos="720"/>
          <w:tab w:val="left" w:pos="661" w:leader="none"/>
        </w:tabs>
        <w:spacing w:lineRule="exact" w:line="320"/>
        <w:rPr>
          <w:rFonts w:cs="Calibri" w:cstheme="minorHAnsi"/>
        </w:rPr>
      </w:pPr>
      <w:r>
        <w:rPr>
          <w:rFonts w:cs="Calibri" w:cstheme="minorHAnsi"/>
        </w:rPr>
        <w:t>Tutte le dichiarazioni previste dal precedente art. 7 per il riconoscimento delle spese e l’erogazione del contributo finanziario devono essere rilasciate dal legale rappresentante del Beneficiario, o da persona da questi delegata con apposita procura – da allegare in originale o copia conforme all’attestazione – ai sensi e con le modalità di cui al D.P.R. n. 445/2000 e s.m.i..</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9 - Monitoraggio</w:t>
      </w:r>
    </w:p>
    <w:p>
      <w:pPr>
        <w:pStyle w:val="ListParagraph"/>
        <w:numPr>
          <w:ilvl w:val="0"/>
          <w:numId w:val="11"/>
        </w:numPr>
        <w:tabs>
          <w:tab w:val="clear" w:pos="720"/>
          <w:tab w:val="left" w:pos="661" w:leader="none"/>
        </w:tabs>
        <w:spacing w:lineRule="exact" w:line="320"/>
        <w:rPr>
          <w:rFonts w:cs="Calibri" w:cstheme="minorHAnsi"/>
        </w:rPr>
      </w:pPr>
      <w:r>
        <w:rPr>
          <w:rFonts w:cs="Calibri" w:cstheme="minorHAnsi"/>
        </w:rPr>
        <w:t>Il Beneficiario provvede a fornire alla Regione i dati economici, finanziari, fisici e procedurali relativi alle varie fasi di realizzazione dell'Operazione, imputando gli stessi nel sistema di monitoraggio economico, finanziario, fisico e procedurale Caronte con le credenziali ricevute unitamente alla notifica del Decreto di finanziamento, ovvero attraverso l’utilizzo di appositi moduli di modelli messi a disposizione dalla Regione.</w:t>
      </w:r>
    </w:p>
    <w:p>
      <w:pPr>
        <w:pStyle w:val="ListParagraph"/>
        <w:numPr>
          <w:ilvl w:val="0"/>
          <w:numId w:val="11"/>
        </w:numPr>
        <w:tabs>
          <w:tab w:val="clear" w:pos="720"/>
          <w:tab w:val="left" w:pos="661" w:leader="none"/>
        </w:tabs>
        <w:spacing w:lineRule="exact" w:line="320"/>
        <w:rPr>
          <w:rFonts w:cs="Calibri" w:cstheme="minorHAnsi"/>
        </w:rPr>
      </w:pPr>
      <w:r>
        <w:rPr>
          <w:rFonts w:cs="Calibri" w:cstheme="minorHAnsi"/>
        </w:rPr>
        <w:t>Il Beneficiario si impegna a caricare nella sezione documentale del sistema di monitoraggio economico, finanziario, fisico e procedurale Caronte tutti gli atti e la documentazione relativi all’Operazione, compresa l’intera documentazione giustificativa della spesa.</w:t>
      </w:r>
    </w:p>
    <w:p>
      <w:pPr>
        <w:pStyle w:val="ListParagraph"/>
        <w:numPr>
          <w:ilvl w:val="0"/>
          <w:numId w:val="11"/>
        </w:numPr>
        <w:tabs>
          <w:tab w:val="clear" w:pos="720"/>
          <w:tab w:val="left" w:pos="661" w:leader="none"/>
        </w:tabs>
        <w:spacing w:lineRule="exact" w:line="320"/>
        <w:rPr>
          <w:rFonts w:cs="Calibri" w:cstheme="minorHAnsi"/>
        </w:rPr>
      </w:pPr>
      <w:r>
        <w:rPr>
          <w:rFonts w:cs="Calibri" w:cstheme="minorHAnsi"/>
        </w:rPr>
        <w:t>Entro dieci (10) giorni dalla scadenza di ciascun bimestre (febbraio, aprile, giugno, agosto, ottobre, dicembre), il Beneficiario è tenuto a comunicare alla Regione i dati economici, finanziari, fisici e procedurali relativi alle varie fasi di realizzazione dell'Operazione, nonché gli atti e la documentazione progettuale relativi alla stessa, compresa l’intera documentazione giustificativa della spesa, con le modalità di cui ai precedenti commi 1 e 2, per garantire alla Regione il rispetto degli obblighi e impegni di monitoraggio nei confronti dello Stato e dell’UE. In assenza di avanzamento dei dati rispetto al bimestre precedente, il Beneficiario deve comunque comunicare la circostanza dell’assenza di ulteriore avanzamento e confermare i dati precedenti.</w:t>
      </w:r>
    </w:p>
    <w:p>
      <w:pPr>
        <w:pStyle w:val="ListParagraph"/>
        <w:numPr>
          <w:ilvl w:val="0"/>
          <w:numId w:val="11"/>
        </w:numPr>
        <w:tabs>
          <w:tab w:val="clear" w:pos="720"/>
          <w:tab w:val="left" w:pos="661" w:leader="none"/>
        </w:tabs>
        <w:spacing w:lineRule="exact" w:line="320"/>
        <w:rPr>
          <w:rFonts w:cs="Calibri" w:cstheme="minorHAnsi"/>
        </w:rPr>
      </w:pPr>
      <w:r>
        <w:rPr>
          <w:rFonts w:cs="Calibri" w:cstheme="minorHAnsi"/>
        </w:rPr>
        <w:t>Nell’eventualità che per 12 (dodici) mesi consecutivi non sia stato registrato alcun avanzamento della spesa e non sia intervenuta alcuna comunicazione formale in ordine alle motivazioni del mancato avanzamento, la Regione, previo invito a ottemperare agli obblighi di cui ai precedenti commi 1 e 2, procede alla revoca del contributo finanziario e al recupero delle eventuali somme già versate.</w:t>
      </w:r>
    </w:p>
    <w:p>
      <w:pPr>
        <w:pStyle w:val="ListParagraph"/>
        <w:numPr>
          <w:ilvl w:val="0"/>
          <w:numId w:val="11"/>
        </w:numPr>
        <w:tabs>
          <w:tab w:val="clear" w:pos="720"/>
          <w:tab w:val="left" w:pos="661" w:leader="none"/>
        </w:tabs>
        <w:spacing w:lineRule="exact" w:line="320"/>
        <w:rPr>
          <w:rFonts w:cs="Calibri" w:cstheme="minorHAnsi"/>
        </w:rPr>
      </w:pPr>
      <w:r>
        <w:rPr>
          <w:rFonts w:cs="Calibri" w:cstheme="minorHAnsi"/>
        </w:rPr>
        <w:t>La regolare trasmissione dei dati di monitoraggio di cui ai precedenti commi 1, 2 e 3 costituisce condizione necessaria per l’erogazione, da parte della Regione, delle quote del contributo finanziario così come disciplinato dall’art. 7 del presente Disciplinare.</w:t>
      </w:r>
    </w:p>
    <w:p>
      <w:pPr>
        <w:pStyle w:val="ListParagraph"/>
        <w:numPr>
          <w:ilvl w:val="0"/>
          <w:numId w:val="11"/>
        </w:numPr>
        <w:tabs>
          <w:tab w:val="clear" w:pos="720"/>
          <w:tab w:val="left" w:pos="661" w:leader="none"/>
        </w:tabs>
        <w:spacing w:lineRule="exact" w:line="320"/>
        <w:rPr>
          <w:rFonts w:cs="Calibri" w:cstheme="minorHAnsi"/>
        </w:rPr>
      </w:pPr>
      <w:r>
        <w:rPr>
          <w:rFonts w:cs="Calibri" w:cstheme="minorHAnsi"/>
        </w:rPr>
        <w:t>La trasmissione puntuale dei dati di monitoraggio di cui ai precedenti commi 1, 2 e 3, costituisce altresì condizione per accedere a eventuali istituti premiali previsti da successivi Avvisi, in rispondenza e conformità alla disciplina comunitaria, nazionale e regionale di riferimento.</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10 – Modalità di conservazione della documentazione</w:t>
      </w:r>
    </w:p>
    <w:p>
      <w:pPr>
        <w:pStyle w:val="ListParagraph"/>
        <w:numPr>
          <w:ilvl w:val="0"/>
          <w:numId w:val="10"/>
        </w:numPr>
        <w:tabs>
          <w:tab w:val="clear" w:pos="720"/>
          <w:tab w:val="left" w:pos="661" w:leader="none"/>
        </w:tabs>
        <w:spacing w:lineRule="exact" w:line="320"/>
        <w:rPr>
          <w:rFonts w:cs="Calibri" w:cstheme="minorHAnsi"/>
        </w:rPr>
      </w:pPr>
      <w:r>
        <w:rPr>
          <w:rFonts w:cs="Calibri" w:cstheme="minorHAnsi"/>
        </w:rPr>
        <w:t>Il Beneficiario è tenuto a conservare i documenti sotto forma di originali o di copie autenticate, in formato cartaceo o elettronico, su supporti per i dati comunemente accettati, in rispondenza agli obblighi di formazione, trattamento, trasmissione e conservazione dei documenti previsti dalla disciplina nazionale applicabile al Beneficiario medesimo. Tali documenti sono, inoltre, conservati in una forma tale da consentire l'identificazione delle persone interessate solo per il periodo necessario al conseguimento delle finalità per le quali i dati sono rilevati o successivamente trattati, nel rispetto della normativa in materia di tutela della privacy vigente (D.Lgs n. 196/2003 e s.m.i.).</w:t>
      </w:r>
    </w:p>
    <w:p>
      <w:pPr>
        <w:pStyle w:val="ListParagraph"/>
        <w:numPr>
          <w:ilvl w:val="0"/>
          <w:numId w:val="10"/>
        </w:numPr>
        <w:tabs>
          <w:tab w:val="clear" w:pos="720"/>
          <w:tab w:val="left" w:pos="661" w:leader="none"/>
        </w:tabs>
        <w:spacing w:lineRule="exact" w:line="320"/>
        <w:rPr>
          <w:rFonts w:cs="Calibri" w:cstheme="minorHAnsi"/>
        </w:rPr>
      </w:pPr>
      <w:r>
        <w:rPr>
          <w:rFonts w:cs="Calibri" w:cstheme="minorHAnsi"/>
        </w:rPr>
        <w:t>Il Beneficiario che utilizza sistemi di archiviazione elettronica o di elaborazione delle immagini (ossia che effettuano scansioni dei documenti originali e li archiviano in forma elettronica) deve organizzare e garantire che: ciascun documento elettronico scannerizzato sia identico all’originale cartaceo, sia impossibile scannerizzare lo stesso documento cartaceo per produrre documenti elettronici diversi, ciascun documento elettronico resti unico e non possa essere riutilizzato per uno scopo diverso da quello iniziale. La procedura di approvazione, contabile e di pagamento deve essere unica per ciascun documento elettronico. Non deve essere possibile approvare, contabilizzare o pagare lo stesso documento elettronico più volte. Una volta sottoposti a scansione, deve essere impossibile modificare i documenti elettronici o creare copie alterate.</w:t>
      </w:r>
    </w:p>
    <w:p>
      <w:pPr>
        <w:pStyle w:val="ListParagraph"/>
        <w:numPr>
          <w:ilvl w:val="0"/>
          <w:numId w:val="10"/>
        </w:numPr>
        <w:tabs>
          <w:tab w:val="clear" w:pos="720"/>
          <w:tab w:val="left" w:pos="661" w:leader="none"/>
        </w:tabs>
        <w:spacing w:lineRule="exact" w:line="320"/>
        <w:rPr>
          <w:rFonts w:cs="Calibri" w:cstheme="minorHAnsi"/>
        </w:rPr>
      </w:pPr>
      <w:r>
        <w:rPr>
          <w:rFonts w:cs="Calibri" w:cstheme="minorHAnsi"/>
        </w:rPr>
        <w:t>Il Beneficiario è tenuto a garantire l’archiviazione dei documenti relativi all’Operazione al fine di consentire, anche successivamente alla chiusura dell’Operazione medesima:</w:t>
      </w:r>
    </w:p>
    <w:p>
      <w:pPr>
        <w:pStyle w:val="ListParagraph"/>
        <w:numPr>
          <w:ilvl w:val="1"/>
          <w:numId w:val="10"/>
        </w:numPr>
        <w:tabs>
          <w:tab w:val="clear" w:pos="720"/>
          <w:tab w:val="left" w:pos="661" w:leader="none"/>
        </w:tabs>
        <w:spacing w:lineRule="exact" w:line="320"/>
        <w:rPr>
          <w:rFonts w:cs="Calibri" w:cstheme="minorHAnsi"/>
        </w:rPr>
      </w:pPr>
      <w:r>
        <w:rPr>
          <w:rFonts w:cs="Calibri" w:cstheme="minorHAnsi"/>
        </w:rPr>
        <w:t>una chiara ricostruzione dei dati di spesa e dei documenti dell’Operazione;</w:t>
      </w:r>
    </w:p>
    <w:p>
      <w:pPr>
        <w:pStyle w:val="ListParagraph"/>
        <w:numPr>
          <w:ilvl w:val="1"/>
          <w:numId w:val="10"/>
        </w:numPr>
        <w:tabs>
          <w:tab w:val="clear" w:pos="720"/>
          <w:tab w:val="left" w:pos="661" w:leader="none"/>
        </w:tabs>
        <w:spacing w:lineRule="exact" w:line="320"/>
        <w:rPr>
          <w:rFonts w:cs="Calibri" w:cstheme="minorHAnsi"/>
        </w:rPr>
      </w:pPr>
      <w:r>
        <w:rPr>
          <w:rFonts w:cs="Calibri" w:cstheme="minorHAnsi"/>
        </w:rPr>
        <w:t>la riconciliazione dei documenti di spesa con ogni richiesta di rimborso.</w:t>
      </w:r>
    </w:p>
    <w:p>
      <w:pPr>
        <w:pStyle w:val="ListParagraph"/>
        <w:numPr>
          <w:ilvl w:val="0"/>
          <w:numId w:val="10"/>
        </w:numPr>
        <w:tabs>
          <w:tab w:val="clear" w:pos="720"/>
          <w:tab w:val="left" w:pos="661" w:leader="none"/>
        </w:tabs>
        <w:spacing w:lineRule="exact" w:line="320"/>
        <w:rPr>
          <w:rFonts w:cs="Calibri" w:cstheme="minorHAnsi"/>
        </w:rPr>
      </w:pPr>
      <w:r>
        <w:rPr>
          <w:rFonts w:cs="Calibri" w:cstheme="minorHAnsi"/>
        </w:rPr>
        <w:t>Come già indicato all’art. 2, commi 10 e 11 del presente Disciplinare, il Beneficiario deve conservare e rendere disponibile la documentazione relativa all’Operazione, nei modi e per le finalità di cui al presente articolo, ivi compresi tutti i giustificativi di spesa annullati, così come indicato al comma 6 dell’art. 7 del presente Disciplinare, per un periodo di due anni a decorrere dal 31 dicembre successivo alla presentazione dei conti nei quali sono incluse le spese finali dell'Operazione completata, nonché deve consentire le verifiche in loco, a favore delle autorità di controllo regionali, nazionali e UE.</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11 – Controlli</w:t>
      </w:r>
    </w:p>
    <w:p>
      <w:pPr>
        <w:pStyle w:val="ListParagraph"/>
        <w:numPr>
          <w:ilvl w:val="0"/>
          <w:numId w:val="9"/>
        </w:numPr>
        <w:tabs>
          <w:tab w:val="clear" w:pos="720"/>
          <w:tab w:val="left" w:pos="661" w:leader="none"/>
        </w:tabs>
        <w:spacing w:lineRule="exact" w:line="320"/>
        <w:rPr>
          <w:rFonts w:cs="Calibri" w:cstheme="minorHAnsi"/>
        </w:rPr>
      </w:pPr>
      <w:r>
        <w:rPr>
          <w:rFonts w:cs="Calibri" w:cstheme="minorHAnsi"/>
        </w:rPr>
        <w:t>La Regione si riserva il diritto di esercitare, in ogni tempo e con le modalità che riterrà opportune, verifiche e controlli sull'avanzamento finanziario, procedurale e fisico dell'Operazione. Tali verifiche non sollevano, in ogni caso, il Beneficiario dalla piena ed esclusiva responsabilità della regolare e perfetta esecuzione dell’Operazione.</w:t>
      </w:r>
    </w:p>
    <w:p>
      <w:pPr>
        <w:pStyle w:val="ListParagraph"/>
        <w:numPr>
          <w:ilvl w:val="0"/>
          <w:numId w:val="9"/>
        </w:numPr>
        <w:tabs>
          <w:tab w:val="clear" w:pos="720"/>
          <w:tab w:val="left" w:pos="661" w:leader="none"/>
        </w:tabs>
        <w:spacing w:lineRule="exact" w:line="320"/>
        <w:rPr>
          <w:rFonts w:cs="Calibri" w:cstheme="minorHAnsi"/>
        </w:rPr>
      </w:pPr>
      <w:r>
        <w:rPr>
          <w:rFonts w:cs="Calibri" w:cstheme="minorHAnsi"/>
        </w:rPr>
        <w:t>La Regione rimane estranea ad ogni rapporto comunque nascente con terzi in dipendenza della realizzazione dell’Operazione.</w:t>
      </w:r>
    </w:p>
    <w:p>
      <w:pPr>
        <w:pStyle w:val="ListParagraph"/>
        <w:numPr>
          <w:ilvl w:val="0"/>
          <w:numId w:val="9"/>
        </w:numPr>
        <w:tabs>
          <w:tab w:val="clear" w:pos="720"/>
          <w:tab w:val="left" w:pos="661" w:leader="none"/>
        </w:tabs>
        <w:spacing w:lineRule="exact" w:line="320"/>
        <w:rPr>
          <w:rFonts w:cs="Calibri" w:cstheme="minorHAnsi"/>
        </w:rPr>
      </w:pPr>
      <w:r>
        <w:rPr>
          <w:rFonts w:cs="Calibri" w:cstheme="minorHAnsi"/>
        </w:rPr>
        <w:t>In caso di accertamento, in sede di controllo, del mancato pieno rispetto delle discipline comunitarie, nazionali e regionali, anche se non penalmente rilevanti, si procederà alla revoca del contributo finanziario e al recupero delle eventuali somme già erogate.</w:t>
      </w:r>
    </w:p>
    <w:p>
      <w:pPr>
        <w:pStyle w:val="ListParagraph"/>
        <w:numPr>
          <w:ilvl w:val="0"/>
          <w:numId w:val="9"/>
        </w:numPr>
        <w:tabs>
          <w:tab w:val="clear" w:pos="720"/>
          <w:tab w:val="left" w:pos="661" w:leader="none"/>
        </w:tabs>
        <w:spacing w:lineRule="exact" w:line="320"/>
        <w:rPr>
          <w:rFonts w:cs="Calibri" w:cstheme="minorHAnsi"/>
        </w:rPr>
      </w:pPr>
      <w:r>
        <w:rPr>
          <w:rFonts w:cs="Calibri" w:cstheme="minorHAnsi"/>
        </w:rPr>
        <w:t>L'Operazione ammessa a contribuzione finanziaria è soggetta alle verifiche ed agli eventuali collaudi tecnici specifici prescritti per legge o per contratto, in relazione alla particolare natura della stessa e delle attività/progetti ivi previste.</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12 – Disponibilità dei dati</w:t>
      </w:r>
    </w:p>
    <w:p>
      <w:pPr>
        <w:pStyle w:val="ListParagraph"/>
        <w:numPr>
          <w:ilvl w:val="0"/>
          <w:numId w:val="8"/>
        </w:numPr>
        <w:tabs>
          <w:tab w:val="clear" w:pos="720"/>
          <w:tab w:val="left" w:pos="661" w:leader="none"/>
        </w:tabs>
        <w:spacing w:lineRule="exact" w:line="320"/>
        <w:rPr>
          <w:rFonts w:cs="Calibri" w:cstheme="minorHAnsi"/>
        </w:rPr>
      </w:pPr>
      <w:r>
        <w:rPr>
          <w:rFonts w:cs="Calibri" w:cstheme="minorHAnsi"/>
        </w:rPr>
        <w:t>I dati relativi all’attuazione dell’Operazione, così come riportati nel sistema di monitoraggio economico, finanziario, fisico e procedurale Caronte, saranno resi disponibili per gli organi istituzionali deputati al monitoraggio e al controllo.</w:t>
      </w:r>
    </w:p>
    <w:p>
      <w:pPr>
        <w:pStyle w:val="ListParagraph"/>
        <w:numPr>
          <w:ilvl w:val="0"/>
          <w:numId w:val="8"/>
        </w:numPr>
        <w:tabs>
          <w:tab w:val="clear" w:pos="720"/>
          <w:tab w:val="left" w:pos="661" w:leader="none"/>
        </w:tabs>
        <w:spacing w:lineRule="exact" w:line="320"/>
        <w:rPr>
          <w:rFonts w:cs="Calibri" w:cstheme="minorHAnsi"/>
        </w:rPr>
      </w:pPr>
      <w:r>
        <w:rPr>
          <w:rFonts w:cs="Calibri" w:cstheme="minorHAnsi"/>
        </w:rPr>
        <w:t>Il Beneficiario si impegna a comunicare la circostanza di cui al precedente comma 1 ai Soggetti attuatori, esecutori a qualsiasi titolo e prestatori di servizio, fornitori e subcontraenti.</w:t>
      </w:r>
    </w:p>
    <w:p>
      <w:pPr>
        <w:pStyle w:val="ListParagraph"/>
        <w:numPr>
          <w:ilvl w:val="0"/>
          <w:numId w:val="8"/>
        </w:numPr>
        <w:tabs>
          <w:tab w:val="clear" w:pos="720"/>
          <w:tab w:val="left" w:pos="661" w:leader="none"/>
        </w:tabs>
        <w:spacing w:lineRule="exact" w:line="320"/>
        <w:rPr>
          <w:rFonts w:cs="Calibri" w:cstheme="minorHAnsi"/>
        </w:rPr>
      </w:pPr>
      <w:r>
        <w:rPr>
          <w:rFonts w:cs="Calibri" w:cstheme="minorHAnsi"/>
        </w:rPr>
        <w:t>I dati generali relativi all’Operazione e al relativo stato di avanzamento saranno resi disponibili al pubblico.</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13 - Stabilità dell’Operazione</w:t>
      </w:r>
    </w:p>
    <w:p>
      <w:pPr>
        <w:pStyle w:val="ListParagraph"/>
        <w:numPr>
          <w:ilvl w:val="0"/>
          <w:numId w:val="7"/>
        </w:numPr>
        <w:tabs>
          <w:tab w:val="clear" w:pos="720"/>
          <w:tab w:val="left" w:pos="661" w:leader="none"/>
        </w:tabs>
        <w:spacing w:lineRule="exact" w:line="320"/>
        <w:rPr>
          <w:rFonts w:cs="Calibri" w:cstheme="minorHAnsi"/>
        </w:rPr>
      </w:pPr>
      <w:r>
        <w:rPr>
          <w:rFonts w:cs="Calibri" w:cstheme="minorHAnsi"/>
        </w:rPr>
        <w:t>Ai sensi e per gli effetti dell’art. 71 del Regolamento (UE) n. 1303/2013, l’Operazione ammessa a contribuzione finanziaria, pena il recupero del contributo finanziario accordato, per i cinque anni successivi al suo completamento non deve subire modifiche sostanziali:</w:t>
      </w:r>
    </w:p>
    <w:p>
      <w:pPr>
        <w:pStyle w:val="ListParagraph"/>
        <w:numPr>
          <w:ilvl w:val="1"/>
          <w:numId w:val="7"/>
        </w:numPr>
        <w:tabs>
          <w:tab w:val="clear" w:pos="720"/>
          <w:tab w:val="left" w:pos="661" w:leader="none"/>
        </w:tabs>
        <w:spacing w:lineRule="exact" w:line="320"/>
        <w:rPr>
          <w:rFonts w:cs="Calibri" w:cstheme="minorHAnsi"/>
        </w:rPr>
      </w:pPr>
      <w:r>
        <w:rPr>
          <w:rFonts w:cs="Calibri" w:cstheme="minorHAnsi"/>
        </w:rPr>
        <w:t>che ne alterino la natura o le modalità di esecuzione, o che procurino un vantaggio indebito ad un’impresa o a un ente pubblico;</w:t>
      </w:r>
    </w:p>
    <w:p>
      <w:pPr>
        <w:pStyle w:val="ListParagraph"/>
        <w:numPr>
          <w:ilvl w:val="1"/>
          <w:numId w:val="7"/>
        </w:numPr>
        <w:tabs>
          <w:tab w:val="clear" w:pos="720"/>
          <w:tab w:val="left" w:pos="661" w:leader="none"/>
        </w:tabs>
        <w:spacing w:lineRule="exact" w:line="320"/>
        <w:rPr>
          <w:rFonts w:cs="Calibri" w:cstheme="minorHAnsi"/>
        </w:rPr>
      </w:pPr>
      <w:r>
        <w:rPr>
          <w:rFonts w:cs="Calibri" w:cstheme="minorHAnsi"/>
        </w:rPr>
        <w:t>che siano il risultato di un cambiamento nella natura della proprietà di una infrastruttura o della cessazione di una attività produttiva.</w:t>
      </w:r>
    </w:p>
    <w:p>
      <w:pPr>
        <w:pStyle w:val="ListParagraph"/>
        <w:numPr>
          <w:ilvl w:val="0"/>
          <w:numId w:val="7"/>
        </w:numPr>
        <w:tabs>
          <w:tab w:val="clear" w:pos="720"/>
          <w:tab w:val="left" w:pos="661" w:leader="none"/>
        </w:tabs>
        <w:spacing w:lineRule="exact" w:line="320"/>
        <w:rPr>
          <w:rFonts w:cs="Calibri" w:cstheme="minorHAnsi"/>
        </w:rPr>
      </w:pPr>
      <w:r>
        <w:rPr>
          <w:rFonts w:cs="Calibri" w:cstheme="minorHAnsi"/>
        </w:rPr>
        <w:t>Gli importi indebitamente versati in relazione all'Operazione saranno recuperati dalla Regione in proporzione al periodo per il quale i predetti requisiti non sono stati soddisfatti.</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14 – Varianti</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Le eventuali varianti in corso d’opera che potranno interessare le operazioni finanziate devono fare esclusivo riferimento alle casistiche individuate dall’art. 106 del D. Lgs. 50/2016 e s.m.i. (Modifica di contratti durante il periodo di efficacia).</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Le risorse funzionali ad un eventuale incremento dell’importo lavori discendenti dai “lavori di perizia” potranno essere reperite prioritariamente nell’ambito delle somme per imprevisti presenti nel quadro economico del progetto esecutivo fra le c.d. “somme a disposizione”.</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Non potranno pertanto essere ammesse varianti che determinino un incremento del contributo pubblico concesso.</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Eventuali economie derivanti dalla mancata realizzazione di lavori o dal mancato utilizzo delle c.d. “somme a disposizione” rientreranno nelle disponibilità dell’amministrazione regionale.</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La necessità di introdurre una variante dovrà essere tempestivamente comunicata dal beneficiario all’Amministrazione regionale e, a seguito del perfezionamento della perizia, il beneficiario provvederà a trasmettere la relativa relazione all’UCO/CdR, al fine di verificare la coerenza e la congruenza con gli obiettivi, le finalità e le caratteristiche del progetto originariamente finanziato.</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L’amministrazione regionale provvederà quindi ad effettuare le necessarie verifiche amministrative, contabili e tecniche volte ad accertarne l’ammissibilità e, in caso di esito negativo di tali accertamenti, procederà alla revoca parziale o totale delle agevolazioni concesse.</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Eventuali proroghe ai termini di ultimazione dell’Operazione indicati nel decreto di finanziamento e relativo disciplinare risulteranno ammissibili a condizione che:</w:t>
      </w:r>
    </w:p>
    <w:p>
      <w:pPr>
        <w:pStyle w:val="ListParagraph"/>
        <w:numPr>
          <w:ilvl w:val="1"/>
          <w:numId w:val="6"/>
        </w:numPr>
        <w:tabs>
          <w:tab w:val="clear" w:pos="720"/>
          <w:tab w:val="left" w:pos="661" w:leader="none"/>
        </w:tabs>
        <w:spacing w:lineRule="exact" w:line="320"/>
        <w:rPr>
          <w:rFonts w:cs="Calibri" w:cstheme="minorHAnsi"/>
        </w:rPr>
      </w:pPr>
      <w:r>
        <w:rPr>
          <w:rFonts w:cs="Calibri" w:cstheme="minorHAnsi"/>
        </w:rPr>
        <w:t>le motivazioni che hanno generato i ritardi nella fase di esecuzione delle operazioni finanziate siano dipese da cause terze dalle funzioni di gestione dell’Operazione in capo al beneficiario;</w:t>
      </w:r>
    </w:p>
    <w:p>
      <w:pPr>
        <w:pStyle w:val="ListParagraph"/>
        <w:numPr>
          <w:ilvl w:val="1"/>
          <w:numId w:val="6"/>
        </w:numPr>
        <w:tabs>
          <w:tab w:val="clear" w:pos="720"/>
          <w:tab w:val="left" w:pos="661" w:leader="none"/>
        </w:tabs>
        <w:spacing w:lineRule="exact" w:line="320"/>
        <w:rPr>
          <w:rFonts w:cs="Calibri" w:cstheme="minorHAnsi"/>
        </w:rPr>
      </w:pPr>
      <w:r>
        <w:rPr>
          <w:rFonts w:cs="Calibri" w:cstheme="minorHAnsi"/>
        </w:rPr>
        <w:t>i ritardi nella fase di esecuzione dell’Operazione non incidano, per profili determinanti, sui programmi di spesa afferenti all’azione di riferimento del POR e, comunque, non superino il termine di eleggibilità della spesa del Programma Operativo.</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Le richieste di proroga dovranno pervenire all’UCO/CdR entro un congruo termine dalla scadenza dei termini di ultimazione dell’Operazione previsti nel decreto di finanziamento e relativo disciplinare, al fine di consentire una attività istruttoria che permetta all’UCO/CdR di determinarsi nel merito entro tali termini.</w:t>
      </w:r>
    </w:p>
    <w:p>
      <w:pPr>
        <w:pStyle w:val="ListParagraph"/>
        <w:numPr>
          <w:ilvl w:val="0"/>
          <w:numId w:val="6"/>
        </w:numPr>
        <w:tabs>
          <w:tab w:val="clear" w:pos="720"/>
          <w:tab w:val="left" w:pos="661" w:leader="none"/>
        </w:tabs>
        <w:spacing w:lineRule="exact" w:line="320"/>
        <w:rPr>
          <w:rFonts w:cs="Calibri" w:cstheme="minorHAnsi"/>
        </w:rPr>
      </w:pPr>
      <w:r>
        <w:rPr>
          <w:rFonts w:cs="Calibri" w:cstheme="minorHAnsi"/>
        </w:rPr>
        <w:t>In esito all’attività istruttoria l’UCO/CdR potrà concedere la proroga, ovvero esprimersi con diniego attivando le ulteriori determinazioni consequenziali connesse alle specificità dell’intervento sul quale è stata avanzata la richiesta.</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jc w:val="center"/>
        <w:rPr>
          <w:rFonts w:cs="Calibri" w:cstheme="minorHAnsi"/>
        </w:rPr>
      </w:pPr>
      <w:r>
        <w:rPr>
          <w:rFonts w:cs="Calibri" w:cstheme="minorHAnsi"/>
          <w:b/>
        </w:rPr>
        <w:t>Art. 15 – Revoca della contribuzione finanziaria</w:t>
      </w:r>
    </w:p>
    <w:p>
      <w:pPr>
        <w:pStyle w:val="ListParagraph"/>
        <w:numPr>
          <w:ilvl w:val="0"/>
          <w:numId w:val="5"/>
        </w:numPr>
        <w:tabs>
          <w:tab w:val="clear" w:pos="720"/>
          <w:tab w:val="left" w:pos="661" w:leader="none"/>
        </w:tabs>
        <w:spacing w:lineRule="exact" w:line="320"/>
        <w:rPr>
          <w:rFonts w:cs="Calibri" w:cstheme="minorHAnsi"/>
        </w:rPr>
      </w:pPr>
      <w:r>
        <w:rPr>
          <w:rFonts w:cs="Calibri" w:cstheme="minorHAnsi"/>
        </w:rPr>
        <w:t>Oltre che nelle ipotesi specificamente previste e disciplinate in altri articoli del presente Disciplinare, la Regione si riserva di revocare il contributo finanziario concesso nel caso in cui il Beneficiario incorra in un’irregolarità ai sensi del Regolamento (UE) 1303/2013, art. 2, paragrafo 1, punto 36, oppure in violazioni o negligenze in ordine alle disposizioni e condizioni del presente Disciplinare, nonché a leggi, regolamenti e disposizioni amministrative vigenti, nonché alle norme di buona amministrazione, nonché nel caso di violazione degli obblighi di cui al precedente art. 2.</w:t>
      </w:r>
    </w:p>
    <w:p>
      <w:pPr>
        <w:pStyle w:val="ListParagraph"/>
        <w:numPr>
          <w:ilvl w:val="0"/>
          <w:numId w:val="5"/>
        </w:numPr>
        <w:tabs>
          <w:tab w:val="clear" w:pos="720"/>
          <w:tab w:val="left" w:pos="661" w:leader="none"/>
        </w:tabs>
        <w:spacing w:lineRule="exact" w:line="320"/>
        <w:rPr>
          <w:rFonts w:cs="Calibri" w:cstheme="minorHAnsi"/>
        </w:rPr>
      </w:pPr>
      <w:r>
        <w:rPr>
          <w:rFonts w:cs="Calibri" w:cstheme="minorHAnsi"/>
        </w:rPr>
        <w:t>Lo stesso potere di revoca la Regione lo eserciterà ove, per imperizia, o altro comportamento, il Beneficiario comprometta la tempestiva esecuzione o buona riuscita dell'Operazione.</w:t>
      </w:r>
    </w:p>
    <w:p>
      <w:pPr>
        <w:pStyle w:val="ListParagraph"/>
        <w:numPr>
          <w:ilvl w:val="0"/>
          <w:numId w:val="5"/>
        </w:numPr>
        <w:tabs>
          <w:tab w:val="clear" w:pos="720"/>
          <w:tab w:val="left" w:pos="661" w:leader="none"/>
        </w:tabs>
        <w:spacing w:lineRule="exact" w:line="320"/>
        <w:rPr>
          <w:rFonts w:cs="Calibri" w:cstheme="minorHAnsi"/>
        </w:rPr>
      </w:pPr>
      <w:r>
        <w:rPr>
          <w:rFonts w:cs="Calibri" w:cstheme="minorHAnsi"/>
        </w:rPr>
        <w:t>Nel caso di revoca, il Beneficiario è obbligato a restituire alla Regione le somme da quest'ultima erogate, maggiorate degli interessi legali nel caso di versamento delle stesse su conti correnti fruttiferi, restando a totale carico del medesimo Beneficiario tutti gli oneri relativi all'Operazione.</w:t>
      </w:r>
    </w:p>
    <w:p>
      <w:pPr>
        <w:pStyle w:val="ListParagraph"/>
        <w:numPr>
          <w:ilvl w:val="0"/>
          <w:numId w:val="5"/>
        </w:numPr>
        <w:tabs>
          <w:tab w:val="clear" w:pos="720"/>
          <w:tab w:val="left" w:pos="661" w:leader="none"/>
        </w:tabs>
        <w:spacing w:lineRule="exact" w:line="320"/>
        <w:rPr>
          <w:rFonts w:cs="Calibri" w:cstheme="minorHAnsi"/>
        </w:rPr>
      </w:pPr>
      <w:r>
        <w:rPr>
          <w:rFonts w:cs="Calibri" w:cstheme="minorHAnsi"/>
        </w:rPr>
        <w:t>È in ogni caso facoltà della Regione utilizzare il potere di revoca previsto dal presente articolo nel caso di gravi ritardi o irregolarità – indipendentemente dalla relativa imputabilità a colpa o, comunque, responsabilità del Beneficiario – nell'utilizzo del contributo finanziario concesso.</w:t>
      </w:r>
    </w:p>
    <w:p>
      <w:pPr>
        <w:pStyle w:val="ListParagraph"/>
        <w:numPr>
          <w:ilvl w:val="0"/>
          <w:numId w:val="5"/>
        </w:numPr>
        <w:tabs>
          <w:tab w:val="clear" w:pos="720"/>
          <w:tab w:val="left" w:pos="661" w:leader="none"/>
        </w:tabs>
        <w:spacing w:lineRule="exact" w:line="320"/>
        <w:rPr>
          <w:rFonts w:cs="Calibri" w:cstheme="minorHAnsi"/>
        </w:rPr>
      </w:pPr>
      <w:r>
        <w:rPr>
          <w:rFonts w:cs="Calibri" w:cstheme="minorHAnsi"/>
        </w:rPr>
        <w:t>In caso di revoca parziale del contributo finanziario conseguente alla non ammissibilità di alcune spese richieste a rimborso, queste ultime resteranno a totale carico del Beneficiario.</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right="567" w:hanging="361"/>
        <w:jc w:val="center"/>
        <w:rPr>
          <w:rFonts w:cs="Calibri" w:cstheme="minorHAnsi"/>
        </w:rPr>
      </w:pPr>
      <w:r>
        <w:rPr>
          <w:rFonts w:cs="Calibri" w:cstheme="minorHAnsi"/>
          <w:b/>
          <w:bCs/>
        </w:rPr>
        <w:t>Art. 16 - Informazione e pubblicità e comunicazione dei risultati</w:t>
      </w:r>
    </w:p>
    <w:p>
      <w:pPr>
        <w:pStyle w:val="ListParagraph"/>
        <w:numPr>
          <w:ilvl w:val="0"/>
          <w:numId w:val="19"/>
        </w:numPr>
        <w:tabs>
          <w:tab w:val="clear" w:pos="720"/>
          <w:tab w:val="left" w:pos="661" w:leader="none"/>
        </w:tabs>
        <w:spacing w:lineRule="exact" w:line="320"/>
        <w:ind w:left="720" w:right="567" w:hanging="360"/>
        <w:rPr>
          <w:rFonts w:cs="Calibri" w:cstheme="minorHAnsi"/>
        </w:rPr>
      </w:pPr>
      <w:r>
        <w:rPr>
          <w:rFonts w:cs="Calibri" w:cstheme="minorHAnsi"/>
        </w:rPr>
        <w:t>Per ciascuna Operazione che usufruisca del contributo finanziario prevista dall’Avviso, il Beneficiario è tenuto a informare con apposita cartellonistica in modo chiaro che l’Operazione in corso di realizzazione è stata selezionata nell’ambito del PO FESR 2014/2020 e che l’Operazione viene realizzata con il concorso di risorse del Fondo europeo di sviluppo regionale (FESR), dello Stato italiano e della Regione Siciliana. In particolare, in applicazione del Regolamento (UE) n. 1303/2013, i Beneficiari delle risorse dell’Avviso dovranno obbligatoriamente riportare, su qualsiasi documento e/o sito web (a valenza esterna) riguardante l’Operazione finanziata, una indicazione da cui risulti che l’Operazione è finanziata nell’ambito del PO FESR 2014/2020 della Regione Siciliana con il concorso di risorse comunitarie del FESR, dello Stato italiano e della Regione Siciliana. In particolare dovrà essere applicato apposito contrassegno al da cui risulti, a Operazione completata, in uso e funzionante, che la realizzazione è stata sostenuta con il contributo finanziario del PO FESR 2014/2020 della Regione Siciliana. Il contrassegno dovrà avere le caratteristiche previste delle disposizioni del Capo II del Regolamento Es. (UE) 821/2014 (artt. 3, 4 e 5).</w:t>
      </w:r>
    </w:p>
    <w:p>
      <w:pPr>
        <w:pStyle w:val="ListParagraph"/>
        <w:numPr>
          <w:ilvl w:val="0"/>
          <w:numId w:val="19"/>
        </w:numPr>
        <w:tabs>
          <w:tab w:val="clear" w:pos="720"/>
          <w:tab w:val="left" w:pos="661" w:leader="none"/>
        </w:tabs>
        <w:spacing w:lineRule="exact" w:line="320"/>
        <w:ind w:left="720" w:right="567" w:hanging="360"/>
        <w:rPr>
          <w:rFonts w:cs="Calibri" w:cstheme="minorHAnsi"/>
        </w:rPr>
      </w:pPr>
      <w:r>
        <w:rPr>
          <w:rFonts w:cs="Calibri" w:cstheme="minorHAnsi"/>
        </w:rPr>
        <w:t>Dei risultati delle attività realizzate con l’Avviso verrà data pubblicità nei modi concordati con la Regione Siciliana, compatibilmente con eventuali vincoli di diritto che possano insorgere in particolare nell’interazione con conoscenze e know-how specifici di enti e imprese terze coinvolte.</w:t>
      </w:r>
    </w:p>
    <w:p>
      <w:pPr>
        <w:pStyle w:val="ListParagraph"/>
        <w:numPr>
          <w:ilvl w:val="0"/>
          <w:numId w:val="19"/>
        </w:numPr>
        <w:tabs>
          <w:tab w:val="clear" w:pos="720"/>
          <w:tab w:val="left" w:pos="661" w:leader="none"/>
        </w:tabs>
        <w:spacing w:lineRule="exact" w:line="320"/>
        <w:ind w:left="720" w:right="567" w:hanging="360"/>
        <w:rPr>
          <w:rFonts w:cs="Calibri" w:cstheme="minorHAnsi"/>
        </w:rPr>
      </w:pPr>
      <w:r>
        <w:rPr>
          <w:rFonts w:cs="Calibri" w:cstheme="minorHAnsi"/>
        </w:rPr>
        <w:t>Ai sensi dell’art 115 del Regolamento (UE) 1303/2013, i soggetti ammessi a contributo finanziario, in caso di accettazione dello stesso, saranno inclusi nell'elenco dei Beneficiari pubblicato a norma di detto Regolamento.</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r>
    </w:p>
    <w:p>
      <w:pPr>
        <w:pStyle w:val="ListParagraph"/>
        <w:tabs>
          <w:tab w:val="clear" w:pos="720"/>
          <w:tab w:val="left" w:pos="661" w:leader="none"/>
        </w:tabs>
        <w:spacing w:lineRule="exact" w:line="320"/>
        <w:ind w:left="720" w:right="567" w:hanging="361"/>
        <w:jc w:val="center"/>
        <w:rPr>
          <w:rFonts w:cs="Calibri" w:cstheme="minorHAnsi"/>
        </w:rPr>
      </w:pPr>
      <w:r>
        <w:rPr>
          <w:rFonts w:cs="Calibri" w:cstheme="minorHAnsi"/>
          <w:b/>
          <w:bCs/>
        </w:rPr>
        <w:t>Art. 17 - Trattamento dei dati personali</w:t>
      </w:r>
    </w:p>
    <w:p>
      <w:pPr>
        <w:pStyle w:val="ListParagraph"/>
        <w:numPr>
          <w:ilvl w:val="0"/>
          <w:numId w:val="27"/>
        </w:numPr>
        <w:tabs>
          <w:tab w:val="clear" w:pos="720"/>
          <w:tab w:val="left" w:pos="661" w:leader="none"/>
        </w:tabs>
        <w:spacing w:lineRule="exact" w:line="320"/>
        <w:ind w:left="720" w:right="567" w:hanging="360"/>
        <w:rPr>
          <w:rFonts w:cs="Calibri" w:cstheme="minorHAnsi"/>
        </w:rPr>
      </w:pPr>
      <w:r>
        <w:rPr>
          <w:rFonts w:cs="Calibri" w:cstheme="minorHAnsi"/>
        </w:rPr>
        <w:t>Il beneficiario s’impegna a:</w:t>
      </w:r>
    </w:p>
    <w:p>
      <w:pPr>
        <w:pStyle w:val="ListParagraph"/>
        <w:numPr>
          <w:ilvl w:val="0"/>
          <w:numId w:val="20"/>
        </w:numPr>
        <w:tabs>
          <w:tab w:val="clear" w:pos="720"/>
          <w:tab w:val="left" w:pos="661" w:leader="none"/>
        </w:tabs>
        <w:spacing w:lineRule="exact" w:line="320"/>
        <w:ind w:left="720" w:right="567" w:hanging="360"/>
        <w:rPr>
          <w:rFonts w:cs="Calibri" w:cstheme="minorHAnsi"/>
        </w:rPr>
      </w:pPr>
      <w:r>
        <w:rPr>
          <w:rFonts w:cs="Calibri" w:cstheme="minorHAnsi"/>
        </w:rPr>
        <w:t>svolgere i trattamenti di dati personali nel pieno rispetto della legislazione vigente nonché della normativa per la protezione dei dati personali (ivi inclusi - oltre al D.Lgs. 196/03 e s.m.i. – anche gli ulteriori provvedimenti, comunicati ufficiali, autorizzazioni generali, pronunce in genere emessi dall'Autorità Garante per la Protezione dei Dati Personali) con particolare attenzione all’adozione delle misure di sicurezza di cui alla normativa citata;</w:t>
      </w:r>
    </w:p>
    <w:p>
      <w:pPr>
        <w:pStyle w:val="ListParagraph"/>
        <w:numPr>
          <w:ilvl w:val="0"/>
          <w:numId w:val="20"/>
        </w:numPr>
        <w:tabs>
          <w:tab w:val="clear" w:pos="720"/>
          <w:tab w:val="left" w:pos="661" w:leader="none"/>
        </w:tabs>
        <w:spacing w:lineRule="exact" w:line="320"/>
        <w:ind w:left="720" w:right="567" w:hanging="360"/>
        <w:rPr>
          <w:rFonts w:cs="Calibri" w:cstheme="minorHAnsi"/>
        </w:rPr>
      </w:pPr>
      <w:r>
        <w:rPr>
          <w:rFonts w:cs="Calibri" w:cstheme="minorHAnsi"/>
        </w:rPr>
        <w:t>eseguire i soli trattamenti funzionali, necessari e pertinenti all’esecuzione delle prestazioni contrattuali e, in ogni modo, non incompatibili con le finalità per cui i dati sono stati raccolti;</w:t>
      </w:r>
    </w:p>
    <w:p>
      <w:pPr>
        <w:pStyle w:val="ListParagraph"/>
        <w:numPr>
          <w:ilvl w:val="0"/>
          <w:numId w:val="20"/>
        </w:numPr>
        <w:tabs>
          <w:tab w:val="clear" w:pos="720"/>
          <w:tab w:val="left" w:pos="661" w:leader="none"/>
        </w:tabs>
        <w:spacing w:lineRule="exact" w:line="320"/>
        <w:ind w:left="720" w:right="567" w:hanging="360"/>
        <w:rPr>
          <w:rFonts w:cs="Calibri" w:cstheme="minorHAnsi"/>
        </w:rPr>
      </w:pPr>
      <w:r>
        <w:rPr>
          <w:rFonts w:cs="Calibri" w:cstheme="minorHAnsi"/>
        </w:rPr>
        <w:t>attivare le necessarie procedure aziendali, per identificare gli "Incaricati del trattamento” ed organizzarli nei loro compiti;</w:t>
      </w:r>
    </w:p>
    <w:p>
      <w:pPr>
        <w:pStyle w:val="ListParagraph"/>
        <w:numPr>
          <w:ilvl w:val="0"/>
          <w:numId w:val="20"/>
        </w:numPr>
        <w:tabs>
          <w:tab w:val="clear" w:pos="720"/>
          <w:tab w:val="left" w:pos="661" w:leader="none"/>
        </w:tabs>
        <w:spacing w:lineRule="exact" w:line="320"/>
        <w:ind w:left="720" w:right="567" w:hanging="360"/>
        <w:rPr>
          <w:rFonts w:cs="Calibri" w:cstheme="minorHAnsi"/>
        </w:rPr>
      </w:pPr>
      <w:r>
        <w:rPr>
          <w:rFonts w:cs="Calibri" w:cstheme="minorHAnsi"/>
        </w:rPr>
        <w:t>adottare le misure di sicurezza di cui al D.Lgs 196/03 e s.m.i. e verificare la costante adeguatezza così da ridurre al minimo i rischi di perdita e di distruzione, anche accidentale, dei dati stessi, di accesso non autorizzato, di trattamento non conentito o non conforme alle finalità della raccolta;</w:t>
      </w:r>
    </w:p>
    <w:p>
      <w:pPr>
        <w:pStyle w:val="ListParagraph"/>
        <w:numPr>
          <w:ilvl w:val="0"/>
          <w:numId w:val="20"/>
        </w:numPr>
        <w:tabs>
          <w:tab w:val="clear" w:pos="720"/>
          <w:tab w:val="left" w:pos="661" w:leader="none"/>
        </w:tabs>
        <w:spacing w:lineRule="exact" w:line="320"/>
        <w:ind w:left="720" w:right="567" w:hanging="360"/>
        <w:rPr>
          <w:rFonts w:cs="Calibri" w:cstheme="minorHAnsi"/>
        </w:rPr>
      </w:pPr>
      <w:r>
        <w:rPr>
          <w:rFonts w:cs="Calibri" w:cstheme="minorHAnsi"/>
        </w:rPr>
        <w:t>implementare le misure di cui al Provvedimento Generale del Garante del 27.11.2008 e ss.mm.ii. sugli amministratori di sistema, tra l’altro, ricorrendone le condizioni, conservando direttamente e specificamente, per ogni eventuale evenienza e per conto del Titolare del trattamento, una lista aggiornata recante gli estremi identificativi delle persone fisiche preposte quali amministratori di sistema che il Titolare del trattamento si riserva di richiedere.</w:t>
      </w:r>
    </w:p>
    <w:p>
      <w:pPr>
        <w:pStyle w:val="ListParagraph"/>
        <w:numPr>
          <w:ilvl w:val="0"/>
          <w:numId w:val="27"/>
        </w:numPr>
        <w:tabs>
          <w:tab w:val="clear" w:pos="720"/>
          <w:tab w:val="left" w:pos="661" w:leader="none"/>
        </w:tabs>
        <w:spacing w:lineRule="exact" w:line="320"/>
        <w:ind w:left="720" w:right="567" w:hanging="360"/>
        <w:rPr>
          <w:rFonts w:cs="Calibri" w:cstheme="minorHAnsi"/>
        </w:rPr>
      </w:pPr>
      <w:r>
        <w:rPr>
          <w:rFonts w:cs="Calibri" w:cstheme="minorHAnsi"/>
        </w:rPr>
        <w:t>La Regione Siciliana è contitolare esclusivamente per le funzioni relative al monitoraggio e controllo previsti dalla normativa vigente.</w:t>
      </w:r>
    </w:p>
    <w:p>
      <w:pPr>
        <w:pStyle w:val="ListParagraph"/>
        <w:tabs>
          <w:tab w:val="clear" w:pos="720"/>
          <w:tab w:val="left" w:pos="661" w:leader="none"/>
        </w:tabs>
        <w:spacing w:lineRule="exact" w:line="320"/>
        <w:ind w:left="720" w:right="567" w:hanging="361"/>
        <w:rPr>
          <w:rFonts w:cs="Calibri" w:cstheme="minorHAnsi"/>
          <w:b/>
          <w:b/>
        </w:rPr>
      </w:pPr>
      <w:r>
        <w:rPr>
          <w:rFonts w:cs="Calibri" w:cstheme="minorHAnsi"/>
          <w:b/>
        </w:rPr>
      </w:r>
    </w:p>
    <w:p>
      <w:pPr>
        <w:pStyle w:val="ListParagraph"/>
        <w:tabs>
          <w:tab w:val="clear" w:pos="720"/>
          <w:tab w:val="left" w:pos="661" w:leader="none"/>
        </w:tabs>
        <w:spacing w:lineRule="exact" w:line="320"/>
        <w:ind w:left="720" w:right="567" w:hanging="361"/>
        <w:rPr>
          <w:rFonts w:cs="Calibri" w:cstheme="minorHAnsi"/>
        </w:rPr>
      </w:pPr>
      <w:r>
        <w:rPr>
          <w:rFonts w:cs="Calibri" w:cstheme="minorHAnsi"/>
          <w:b/>
        </w:rPr>
        <w:t>Art. 18 - Foro competente</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t>Per qualsiasi controversia derivante o connessa al presente Disciplinare, ove la Regione sia attore o convenuto, è competente il Foro di Palermo, con espressa rinuncia a qualsiasi altro.</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r>
    </w:p>
    <w:p>
      <w:pPr>
        <w:pStyle w:val="ListParagraph"/>
        <w:tabs>
          <w:tab w:val="clear" w:pos="720"/>
          <w:tab w:val="left" w:pos="661" w:leader="none"/>
        </w:tabs>
        <w:spacing w:lineRule="exact" w:line="320"/>
        <w:ind w:left="720" w:right="567" w:hanging="361"/>
        <w:rPr>
          <w:rFonts w:cs="Calibri" w:cstheme="minorHAnsi"/>
        </w:rPr>
      </w:pPr>
      <w:r>
        <w:rPr>
          <w:rFonts w:cs="Calibri" w:cstheme="minorHAnsi"/>
          <w:b/>
        </w:rPr>
        <w:t>Art. 19 – Richiamo generale alle norme applicabili e alle disposizioni dell’UE</w:t>
      </w:r>
    </w:p>
    <w:p>
      <w:pPr>
        <w:pStyle w:val="ListParagraph"/>
        <w:tabs>
          <w:tab w:val="clear" w:pos="720"/>
          <w:tab w:val="left" w:pos="661" w:leader="none"/>
        </w:tabs>
        <w:spacing w:lineRule="exact" w:line="320"/>
        <w:ind w:left="720" w:right="567" w:hanging="361"/>
        <w:rPr>
          <w:rFonts w:cs="Calibri" w:cstheme="minorHAnsi"/>
        </w:rPr>
      </w:pPr>
      <w:r>
        <w:rPr>
          <w:rFonts w:cs="Calibri" w:cstheme="minorHAnsi"/>
        </w:rPr>
        <w:t>Per quanto non espressamente previsto, si richiamano tutte le norme applicabili in materia, nonché le disposizioni impartite dall’UE.</w:t>
      </w:r>
    </w:p>
    <w:p>
      <w:pPr>
        <w:pStyle w:val="ListParagraph"/>
        <w:tabs>
          <w:tab w:val="clear" w:pos="720"/>
          <w:tab w:val="left" w:pos="661" w:leader="none"/>
        </w:tabs>
        <w:spacing w:lineRule="exact" w:line="320"/>
        <w:ind w:left="720" w:hanging="361"/>
        <w:rPr>
          <w:rFonts w:cs="Calibri" w:cstheme="minorHAnsi"/>
          <w:b/>
          <w:b/>
        </w:rPr>
      </w:pPr>
      <w:r>
        <w:rPr>
          <w:rFonts w:cs="Calibri" w:cstheme="minorHAnsi"/>
          <w:b/>
        </w:rPr>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rPr>
          <w:rFonts w:cs="Calibri" w:cstheme="minorHAnsi"/>
        </w:rPr>
      </w:pPr>
      <w:r>
        <w:rPr>
          <w:rFonts w:cs="Calibri" w:cstheme="minorHAnsi"/>
        </w:rPr>
        <w:t xml:space="preserve">Palermo, </w:t>
      </w:r>
      <w:r>
        <w:rPr>
          <w:rFonts w:cs="Calibri" w:cstheme="minorHAnsi"/>
          <w:u w:val="single"/>
        </w:rPr>
        <w:tab/>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rPr>
          <w:rFonts w:cs="Calibri" w:cstheme="minorHAnsi"/>
        </w:rPr>
      </w:pPr>
      <w:r>
        <w:rPr>
          <w:rFonts w:cs="Calibri" w:cstheme="minorHAnsi"/>
        </w:rPr>
        <w:t>Per la Regione Siciliana, il Responsabile dell’Azione</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rPr>
          <w:rFonts w:cs="Calibri" w:cstheme="minorHAnsi"/>
        </w:rPr>
      </w:pPr>
      <w:r>
        <w:rPr>
          <w:rFonts w:cs="Calibri" w:cstheme="minorHAnsi"/>
        </w:rPr>
        <w:t>__________________________________________</w:t>
      </w:r>
    </w:p>
    <w:p>
      <w:pPr>
        <w:pStyle w:val="ListParagraph"/>
        <w:tabs>
          <w:tab w:val="clear" w:pos="720"/>
          <w:tab w:val="left" w:pos="661" w:leader="none"/>
        </w:tabs>
        <w:spacing w:lineRule="exact" w:line="320"/>
        <w:ind w:left="720" w:hanging="361"/>
        <w:rPr>
          <w:rFonts w:cs="Calibri" w:cstheme="minorHAnsi"/>
          <w:b/>
          <w:b/>
        </w:rPr>
      </w:pPr>
      <w:r>
        <w:rPr>
          <w:rFonts w:cs="Calibri" w:cstheme="minorHAnsi"/>
          <w:b/>
        </w:rPr>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rPr>
          <w:rFonts w:cs="Calibri" w:cstheme="minorHAnsi"/>
        </w:rPr>
      </w:pPr>
      <w:r>
        <w:rPr>
          <w:rFonts w:cs="Calibri" w:cstheme="minorHAnsi"/>
        </w:rPr>
        <w:t>PER ACCETTAZIONE</w:t>
      </w:r>
    </w:p>
    <w:p>
      <w:pPr>
        <w:pStyle w:val="ListParagraph"/>
        <w:tabs>
          <w:tab w:val="clear" w:pos="720"/>
          <w:tab w:val="left" w:pos="661" w:leader="none"/>
        </w:tabs>
        <w:spacing w:lineRule="exact" w:line="320"/>
        <w:ind w:left="720" w:hanging="361"/>
        <w:rPr>
          <w:rFonts w:cs="Calibri" w:cstheme="minorHAnsi"/>
        </w:rPr>
      </w:pPr>
      <w:r>
        <w:rPr>
          <w:rFonts w:cs="Calibri" w:cstheme="minorHAnsi"/>
        </w:rPr>
      </w:r>
    </w:p>
    <w:p>
      <w:pPr>
        <w:pStyle w:val="ListParagraph"/>
        <w:tabs>
          <w:tab w:val="clear" w:pos="720"/>
          <w:tab w:val="left" w:pos="661" w:leader="none"/>
        </w:tabs>
        <w:spacing w:lineRule="exact" w:line="320"/>
        <w:ind w:left="720" w:hanging="361"/>
        <w:rPr>
          <w:rFonts w:cs="Calibri" w:cstheme="minorHAnsi"/>
        </w:rPr>
      </w:pPr>
      <w:r>
        <w:rPr>
          <w:rFonts w:cs="Calibri" w:cstheme="minorHAnsi"/>
        </w:rPr>
        <w:t>Per il Beneficiario, il legale rappresentante</w:t>
      </w:r>
    </w:p>
    <w:p>
      <w:pPr>
        <w:pStyle w:val="ListParagraph"/>
        <w:tabs>
          <w:tab w:val="clear" w:pos="720"/>
          <w:tab w:val="left" w:pos="661" w:leader="none"/>
        </w:tabs>
        <w:spacing w:lineRule="exact" w:line="320"/>
        <w:ind w:left="720" w:hanging="361"/>
        <w:rPr>
          <w:rFonts w:cs="Calibri" w:cstheme="minorHAnsi"/>
        </w:rPr>
      </w:pPr>
      <w:r>
        <w:rPr>
          <w:rFonts w:cs="Calibri" w:cstheme="minorHAnsi"/>
        </w:rPr>
        <w:t>Firmato Digitalmente</w:t>
      </w:r>
      <w:bookmarkStart w:id="0" w:name="_GoBack"/>
      <w:bookmarkEnd w:id="0"/>
    </w:p>
    <w:p>
      <w:pPr>
        <w:pStyle w:val="ListParagraph"/>
        <w:tabs>
          <w:tab w:val="clear" w:pos="720"/>
          <w:tab w:val="left" w:pos="661" w:leader="none"/>
        </w:tabs>
        <w:spacing w:lineRule="exact" w:line="320"/>
        <w:ind w:left="720" w:hanging="361"/>
        <w:rPr>
          <w:rFonts w:cs="Calibri" w:cstheme="minorHAnsi"/>
          <w:b/>
          <w:b/>
        </w:rPr>
      </w:pPr>
      <w:r>
        <w:rPr>
          <w:rFonts w:cs="Calibri" w:cstheme="minorHAnsi"/>
        </w:rPr>
        <w:t>Dott. Vito Di Mauro (SINDACO)</w:t>
      </w:r>
      <w:r>
        <w:br w:type="page"/>
      </w:r>
    </w:p>
    <w:p>
      <w:pPr>
        <w:pStyle w:val="ListParagraph"/>
        <w:tabs>
          <w:tab w:val="clear" w:pos="720"/>
          <w:tab w:val="left" w:pos="661" w:leader="none"/>
        </w:tabs>
        <w:spacing w:lineRule="exact" w:line="320"/>
        <w:ind w:left="720" w:right="567" w:hanging="0"/>
        <w:rPr>
          <w:rFonts w:cs="Calibri" w:cstheme="minorHAnsi"/>
          <w:b/>
          <w:b/>
        </w:rPr>
      </w:pPr>
      <w:r>
        <w:rPr>
          <w:rFonts w:cs="Calibri" w:cstheme="minorHAnsi"/>
          <w:b/>
        </w:rPr>
      </w:r>
    </w:p>
    <w:p>
      <w:pPr>
        <w:pStyle w:val="ListParagraph"/>
        <w:tabs>
          <w:tab w:val="clear" w:pos="720"/>
          <w:tab w:val="left" w:pos="661" w:leader="none"/>
        </w:tabs>
        <w:spacing w:lineRule="exact" w:line="320"/>
        <w:ind w:left="567" w:right="567" w:hanging="0"/>
        <w:rPr>
          <w:rFonts w:cs="Calibri" w:cstheme="minorHAnsi"/>
          <w:b/>
          <w:b/>
        </w:rPr>
      </w:pPr>
      <w:r>
        <w:rPr>
          <w:rFonts w:cs="Calibri" w:cstheme="minorHAnsi"/>
          <w:b/>
        </w:rPr>
      </w:r>
    </w:p>
    <w:p>
      <w:pPr>
        <w:pStyle w:val="Corpodeltesto"/>
        <w:spacing w:before="37" w:after="0"/>
        <w:ind w:left="232" w:hanging="0"/>
        <w:rPr>
          <w:sz w:val="22"/>
          <w:szCs w:val="22"/>
        </w:rPr>
      </w:pPr>
      <w:r>
        <w:rPr>
          <w:color w:val="2D74B5"/>
          <w:sz w:val="22"/>
          <w:szCs w:val="22"/>
        </w:rPr>
        <w:t xml:space="preserve">ALLEGATO AL DISCIPLINARE – AZIONE 2.2.1 – </w:t>
      </w:r>
      <w:r>
        <w:rPr>
          <w:rFonts w:eastAsia="Calibri"/>
          <w:color w:val="2D74B5"/>
          <w:sz w:val="22"/>
          <w:szCs w:val="22"/>
        </w:rPr>
        <w:t>GAL TERRE DI ACI</w:t>
      </w:r>
    </w:p>
    <w:p>
      <w:pPr>
        <w:pStyle w:val="Corpodeltesto"/>
        <w:spacing w:before="10" w:after="0"/>
        <w:rPr>
          <w:sz w:val="22"/>
          <w:szCs w:val="22"/>
        </w:rPr>
      </w:pPr>
      <w:r>
        <w:rPr>
          <w:sz w:val="22"/>
          <w:szCs w:val="22"/>
        </w:rPr>
        <mc:AlternateContent>
          <mc:Choice Requires="wps">
            <w:drawing>
              <wp:anchor behindDoc="0" distT="0" distB="0" distL="0" distR="0" simplePos="0" locked="0" layoutInCell="0" allowOverlap="1" relativeHeight="12">
                <wp:simplePos x="0" y="0"/>
                <wp:positionH relativeFrom="page">
                  <wp:posOffset>647700</wp:posOffset>
                </wp:positionH>
                <wp:positionV relativeFrom="paragraph">
                  <wp:posOffset>134620</wp:posOffset>
                </wp:positionV>
                <wp:extent cx="6271260" cy="405765"/>
                <wp:effectExtent l="0" t="3810" r="0" b="2540"/>
                <wp:wrapTopAndBottom/>
                <wp:docPr id="5" name="Text Box 229"/>
                <a:graphic xmlns:a="http://schemas.openxmlformats.org/drawingml/2006/main">
                  <a:graphicData uri="http://schemas.microsoft.com/office/word/2010/wordprocessingShape">
                    <wps:wsp>
                      <wps:cNvSpPr/>
                      <wps:spPr>
                        <a:xfrm>
                          <a:off x="0" y="0"/>
                          <a:ext cx="6271200" cy="405720"/>
                        </a:xfrm>
                        <a:prstGeom prst="rect">
                          <a:avLst/>
                        </a:prstGeom>
                        <a:solidFill>
                          <a:srgbClr val="f1f1f1"/>
                        </a:solidFill>
                        <a:ln w="6480">
                          <a:solidFill>
                            <a:srgbClr val="808080"/>
                          </a:solidFill>
                          <a:miter/>
                        </a:ln>
                      </wps:spPr>
                      <wps:style>
                        <a:lnRef idx="0"/>
                        <a:fillRef idx="0"/>
                        <a:effectRef idx="0"/>
                        <a:fontRef idx="minor"/>
                      </wps:style>
                      <wps:txbx>
                        <w:txbxContent>
                          <w:p>
                            <w:pPr>
                              <w:pStyle w:val="Contenutocornice"/>
                              <w:spacing w:lineRule="auto" w:line="259" w:before="18" w:after="0"/>
                              <w:ind w:left="3824" w:right="3808" w:firstLine="674"/>
                              <w:rPr>
                                <w:rFonts w:ascii="Calibri Light" w:hAnsi="Calibri Light"/>
                              </w:rPr>
                            </w:pPr>
                            <w:r>
                              <w:rPr>
                                <w:rFonts w:ascii="Calibri Light" w:hAnsi="Calibri Light"/>
                                <w:color w:val="1F4D78"/>
                              </w:rPr>
                              <w:t>SEZIONE I SOGGETTI RESPONSABILI</w:t>
                            </w:r>
                          </w:p>
                        </w:txbxContent>
                      </wps:txbx>
                      <wps:bodyPr lIns="0" rIns="0" tIns="0" bIns="0" anchor="t" upright="1">
                        <a:noAutofit/>
                      </wps:bodyPr>
                    </wps:wsp>
                  </a:graphicData>
                </a:graphic>
              </wp:anchor>
            </w:drawing>
          </mc:Choice>
          <mc:Fallback>
            <w:pict>
              <v:rect id="shape_0" ID="Text Box 229" path="m0,0l-2147483645,0l-2147483645,-2147483646l0,-2147483646xe" fillcolor="#f1f1f1" stroked="t" o:allowincell="f" style="position:absolute;margin-left:51pt;margin-top:10.6pt;width:493.75pt;height:31.9pt;mso-wrap-style:square;v-text-anchor:top;mso-position-horizontal-relative:page">
                <v:fill o:detectmouseclick="t" type="solid" color2="#0e0e0e"/>
                <v:stroke color="gray" weight="6480" joinstyle="miter" endcap="flat"/>
                <v:textbox>
                  <w:txbxContent>
                    <w:p>
                      <w:pPr>
                        <w:pStyle w:val="Contenutocornice"/>
                        <w:spacing w:lineRule="auto" w:line="259" w:before="18" w:after="0"/>
                        <w:ind w:left="3824" w:right="3808" w:firstLine="674"/>
                        <w:rPr>
                          <w:rFonts w:ascii="Calibri Light" w:hAnsi="Calibri Light"/>
                        </w:rPr>
                      </w:pPr>
                      <w:r>
                        <w:rPr>
                          <w:rFonts w:ascii="Calibri Light" w:hAnsi="Calibri Light"/>
                          <w:color w:val="1F4D78"/>
                        </w:rPr>
                        <w:t>SEZIONE I SOGGETTI RESPONSABILI</w:t>
                      </w:r>
                    </w:p>
                  </w:txbxContent>
                </v:textbox>
                <w10:wrap type="topAndBottom"/>
              </v:rect>
            </w:pict>
          </mc:Fallback>
        </mc:AlternateContent>
      </w:r>
    </w:p>
    <w:p>
      <w:pPr>
        <w:pStyle w:val="ListParagraph"/>
        <w:numPr>
          <w:ilvl w:val="0"/>
          <w:numId w:val="2"/>
        </w:numPr>
        <w:tabs>
          <w:tab w:val="clear" w:pos="720"/>
          <w:tab w:val="left" w:pos="401" w:leader="none"/>
        </w:tabs>
        <w:spacing w:before="56" w:after="26"/>
        <w:ind w:left="400" w:hanging="169"/>
        <w:rPr>
          <w:i/>
          <w:i/>
        </w:rPr>
      </w:pPr>
      <w:r>
        <w:rPr>
          <w:i/>
          <w:color w:val="1F4D78"/>
        </w:rPr>
        <w:t xml:space="preserve">Amministrazione responsabile dellagestione </w:t>
      </w:r>
    </w:p>
    <w:tbl>
      <w:tblPr>
        <w:tblStyle w:val="TableNormal"/>
        <w:tblW w:w="9780" w:type="dxa"/>
        <w:jc w:val="left"/>
        <w:tblInd w:w="192" w:type="dxa"/>
        <w:tblLayout w:type="fixed"/>
        <w:tblCellMar>
          <w:top w:w="0" w:type="dxa"/>
          <w:left w:w="10" w:type="dxa"/>
          <w:bottom w:w="0" w:type="dxa"/>
          <w:right w:w="10" w:type="dxa"/>
        </w:tblCellMar>
        <w:tblLook w:firstRow="1" w:noVBand="0" w:lastRow="1" w:firstColumn="1" w:lastColumn="1" w:noHBand="0" w:val="01e0"/>
      </w:tblPr>
      <w:tblGrid>
        <w:gridCol w:w="3737"/>
        <w:gridCol w:w="6042"/>
      </w:tblGrid>
      <w:tr>
        <w:trPr>
          <w:trHeight w:val="267"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69" w:hanging="0"/>
              <w:jc w:val="left"/>
              <w:rPr>
                <w:b/>
                <w:b/>
              </w:rPr>
            </w:pPr>
            <w:r>
              <w:rPr>
                <w:rFonts w:eastAsia="Calibri"/>
                <w:b/>
                <w:kern w:val="0"/>
                <w:sz w:val="22"/>
                <w:szCs w:val="22"/>
              </w:rPr>
              <w:t>Ente</w:t>
            </w:r>
          </w:p>
        </w:tc>
        <w:tc>
          <w:tcPr>
            <w:tcW w:w="6042"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jc w:val="left"/>
              <w:rPr>
                <w:rFonts w:ascii="Calibri" w:hAnsi="Calibri" w:eastAsia="Calibri"/>
              </w:rPr>
            </w:pPr>
            <w:r>
              <w:rPr>
                <w:rFonts w:eastAsia="Calibri"/>
                <w:kern w:val="0"/>
                <w:sz w:val="22"/>
                <w:szCs w:val="22"/>
              </w:rPr>
              <w:t>Regione Siciliana – A.R.I.T.</w:t>
            </w:r>
          </w:p>
        </w:tc>
      </w:tr>
      <w:tr>
        <w:trPr>
          <w:trHeight w:val="268"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69" w:hanging="0"/>
              <w:jc w:val="left"/>
              <w:rPr>
                <w:rFonts w:ascii="Calibri" w:hAnsi="Calibri" w:eastAsia="Calibri"/>
              </w:rPr>
            </w:pPr>
            <w:r>
              <w:rPr>
                <w:rFonts w:eastAsia="Calibri"/>
                <w:kern w:val="0"/>
                <w:sz w:val="22"/>
                <w:szCs w:val="22"/>
              </w:rPr>
              <w:t>Indirizzo (Civico, CAP, Località)</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Via Thaon de Revel 18/20 - Palermo</w:t>
            </w:r>
          </w:p>
        </w:tc>
      </w:tr>
      <w:tr>
        <w:trPr>
          <w:trHeight w:val="267"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69" w:hanging="0"/>
              <w:jc w:val="left"/>
              <w:rPr>
                <w:i/>
                <w:i/>
              </w:rPr>
            </w:pPr>
            <w:r>
              <w:rPr>
                <w:rFonts w:eastAsia="Calibri"/>
                <w:i/>
                <w:kern w:val="0"/>
                <w:sz w:val="22"/>
                <w:szCs w:val="22"/>
              </w:rPr>
              <w:t>Responsabile della gestione (UCO)</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Dott. Carmelo Notaro</w:t>
            </w:r>
          </w:p>
        </w:tc>
      </w:tr>
      <w:tr>
        <w:trPr>
          <w:trHeight w:val="270"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50" w:before="0" w:after="0"/>
              <w:ind w:left="69" w:hanging="0"/>
              <w:jc w:val="left"/>
              <w:rPr>
                <w:rFonts w:ascii="Calibri" w:hAnsi="Calibri" w:eastAsia="Calibri"/>
              </w:rPr>
            </w:pPr>
            <w:r>
              <w:rPr>
                <w:rFonts w:eastAsia="Calibri"/>
                <w:kern w:val="0"/>
                <w:sz w:val="22"/>
                <w:szCs w:val="22"/>
              </w:rPr>
              <w:t>Telefono</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091.70.77.724</w:t>
            </w:r>
          </w:p>
        </w:tc>
      </w:tr>
      <w:tr>
        <w:trPr>
          <w:trHeight w:val="267"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69" w:hanging="0"/>
              <w:jc w:val="left"/>
              <w:rPr>
                <w:rFonts w:ascii="Calibri" w:hAnsi="Calibri" w:eastAsia="Calibri"/>
              </w:rPr>
            </w:pPr>
            <w:r>
              <w:rPr>
                <w:rFonts w:eastAsia="Calibri"/>
                <w:kern w:val="0"/>
                <w:sz w:val="22"/>
                <w:szCs w:val="22"/>
              </w:rPr>
              <w:t>e-mail</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carmelo.notaro@regione.sicilia.it</w:t>
            </w:r>
          </w:p>
        </w:tc>
      </w:tr>
      <w:tr>
        <w:trPr>
          <w:trHeight w:val="267"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69" w:hanging="0"/>
              <w:jc w:val="left"/>
              <w:rPr>
                <w:rFonts w:ascii="Calibri" w:hAnsi="Calibri" w:eastAsia="Calibri"/>
              </w:rPr>
            </w:pPr>
            <w:r>
              <w:rPr>
                <w:rFonts w:eastAsia="Calibri"/>
                <w:kern w:val="0"/>
                <w:sz w:val="22"/>
                <w:szCs w:val="22"/>
              </w:rPr>
              <w:t>PEC</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ufficio.informatica@certmail.regione.sicilia.it</w:t>
            </w:r>
          </w:p>
        </w:tc>
      </w:tr>
      <w:tr>
        <w:trPr>
          <w:trHeight w:val="268"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69" w:hanging="0"/>
              <w:jc w:val="left"/>
              <w:rPr>
                <w:i/>
                <w:i/>
              </w:rPr>
            </w:pPr>
            <w:r>
              <w:rPr>
                <w:rFonts w:eastAsia="Calibri"/>
                <w:i/>
                <w:kern w:val="0"/>
                <w:sz w:val="22"/>
                <w:szCs w:val="22"/>
              </w:rPr>
              <w:t>Responsabile del controllo (UC)</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Giovanni Raffa</w:t>
            </w:r>
          </w:p>
        </w:tc>
      </w:tr>
      <w:tr>
        <w:trPr>
          <w:trHeight w:val="270"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51" w:before="0" w:after="0"/>
              <w:ind w:left="69" w:hanging="0"/>
              <w:jc w:val="left"/>
              <w:rPr>
                <w:rFonts w:ascii="Calibri" w:hAnsi="Calibri" w:eastAsia="Calibri"/>
              </w:rPr>
            </w:pPr>
            <w:r>
              <w:rPr>
                <w:rFonts w:eastAsia="Calibri"/>
                <w:kern w:val="0"/>
                <w:sz w:val="22"/>
                <w:szCs w:val="22"/>
              </w:rPr>
              <w:t>Telefono</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091 7072203</w:t>
            </w:r>
          </w:p>
        </w:tc>
      </w:tr>
      <w:tr>
        <w:trPr>
          <w:trHeight w:val="268"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69" w:hanging="0"/>
              <w:jc w:val="left"/>
              <w:rPr>
                <w:rFonts w:ascii="Calibri" w:hAnsi="Calibri" w:eastAsia="Calibri"/>
              </w:rPr>
            </w:pPr>
            <w:r>
              <w:rPr>
                <w:rFonts w:eastAsia="Calibri"/>
                <w:kern w:val="0"/>
                <w:sz w:val="22"/>
                <w:szCs w:val="22"/>
              </w:rPr>
              <w:t>e-mail</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graffa@regione.sicilia.it</w:t>
            </w:r>
          </w:p>
        </w:tc>
      </w:tr>
      <w:tr>
        <w:trPr>
          <w:trHeight w:val="268" w:hRule="atLeast"/>
        </w:trPr>
        <w:tc>
          <w:tcPr>
            <w:tcW w:w="37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69" w:hanging="0"/>
              <w:jc w:val="left"/>
              <w:rPr>
                <w:rFonts w:ascii="Calibri" w:hAnsi="Calibri" w:eastAsia="Calibri"/>
              </w:rPr>
            </w:pPr>
            <w:r>
              <w:rPr>
                <w:rFonts w:eastAsia="Calibri"/>
                <w:kern w:val="0"/>
                <w:sz w:val="22"/>
                <w:szCs w:val="22"/>
              </w:rPr>
              <w:t>PEC</w:t>
            </w:r>
          </w:p>
        </w:tc>
        <w:tc>
          <w:tcPr>
            <w:tcW w:w="6042" w:type="dxa"/>
            <w:tcBorders>
              <w:top w:val="single" w:sz="8" w:space="0" w:color="000000"/>
              <w:left w:val="single" w:sz="8" w:space="0" w:color="000000"/>
              <w:bottom w:val="single" w:sz="8" w:space="0" w:color="000000"/>
              <w:right w:val="single" w:sz="8" w:space="0" w:color="000000"/>
            </w:tcBorders>
            <w:vAlign w:val="center"/>
          </w:tcPr>
          <w:p>
            <w:pPr>
              <w:pStyle w:val="TableParagraph"/>
              <w:widowControl w:val="false"/>
              <w:suppressAutoHyphens w:val="true"/>
              <w:spacing w:before="0" w:after="0"/>
              <w:jc w:val="left"/>
              <w:rPr>
                <w:rFonts w:ascii="Calibri" w:hAnsi="Calibri" w:eastAsia="Calibri"/>
              </w:rPr>
            </w:pPr>
            <w:r>
              <w:rPr>
                <w:rFonts w:eastAsia="Calibri"/>
                <w:kern w:val="0"/>
                <w:sz w:val="22"/>
                <w:szCs w:val="22"/>
              </w:rPr>
              <w:t>dipartimento.tecnico@certmail.regione.sicilia.it</w:t>
            </w:r>
          </w:p>
        </w:tc>
      </w:tr>
    </w:tbl>
    <w:p>
      <w:pPr>
        <w:pStyle w:val="Corpodeltesto"/>
        <w:spacing w:before="1" w:after="0"/>
        <w:rPr>
          <w:i/>
          <w:i/>
          <w:sz w:val="22"/>
          <w:szCs w:val="22"/>
        </w:rPr>
      </w:pPr>
      <w:r>
        <w:rPr>
          <w:i/>
          <w:sz w:val="22"/>
          <w:szCs w:val="22"/>
        </w:rPr>
      </w:r>
    </w:p>
    <w:p>
      <w:pPr>
        <w:pStyle w:val="ListParagraph"/>
        <w:numPr>
          <w:ilvl w:val="0"/>
          <w:numId w:val="2"/>
        </w:numPr>
        <w:tabs>
          <w:tab w:val="clear" w:pos="720"/>
          <w:tab w:val="left" w:pos="401" w:leader="none"/>
        </w:tabs>
        <w:spacing w:before="0" w:after="25"/>
        <w:ind w:left="400" w:hanging="169"/>
        <w:rPr>
          <w:i/>
          <w:i/>
        </w:rPr>
      </w:pPr>
      <w:r>
        <w:rPr>
          <w:i/>
          <w:color w:val="1F4D78"/>
        </w:rPr>
        <w:t xml:space="preserve">Beneficiario </w:t>
      </w:r>
    </w:p>
    <w:tbl>
      <w:tblPr>
        <w:tblStyle w:val="TableNormal"/>
        <w:tblW w:w="9856" w:type="dxa"/>
        <w:jc w:val="left"/>
        <w:tblInd w:w="154" w:type="dxa"/>
        <w:tblLayout w:type="fixed"/>
        <w:tblCellMar>
          <w:top w:w="0" w:type="dxa"/>
          <w:left w:w="10" w:type="dxa"/>
          <w:bottom w:w="0" w:type="dxa"/>
          <w:right w:w="10" w:type="dxa"/>
        </w:tblCellMar>
        <w:tblLook w:firstRow="1" w:noVBand="0" w:lastRow="1" w:firstColumn="1" w:lastColumn="1" w:noHBand="0" w:val="01e0"/>
      </w:tblPr>
      <w:tblGrid>
        <w:gridCol w:w="3764"/>
        <w:gridCol w:w="6091"/>
      </w:tblGrid>
      <w:tr>
        <w:trPr>
          <w:trHeight w:val="267"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07" w:hanging="0"/>
              <w:jc w:val="left"/>
              <w:rPr>
                <w:b/>
                <w:b/>
              </w:rPr>
            </w:pPr>
            <w:r>
              <w:rPr>
                <w:rFonts w:eastAsia="Calibri"/>
                <w:b/>
                <w:kern w:val="0"/>
                <w:sz w:val="22"/>
                <w:szCs w:val="22"/>
              </w:rPr>
              <w:t>Ente</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rFonts w:eastAsia="Calibri"/>
                <w:kern w:val="0"/>
                <w:sz w:val="22"/>
                <w:szCs w:val="22"/>
              </w:rPr>
              <w:t>Comune di ACI BONACCORSI</w:t>
            </w:r>
          </w:p>
        </w:tc>
      </w:tr>
      <w:tr>
        <w:trPr>
          <w:trHeight w:val="268"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07" w:hanging="0"/>
              <w:jc w:val="left"/>
              <w:rPr>
                <w:rFonts w:ascii="Calibri" w:hAnsi="Calibri" w:eastAsia="Calibri"/>
              </w:rPr>
            </w:pPr>
            <w:r>
              <w:rPr>
                <w:rFonts w:eastAsia="Calibri"/>
                <w:kern w:val="0"/>
                <w:sz w:val="22"/>
                <w:szCs w:val="22"/>
              </w:rPr>
              <w:t>Indirizzo (Civico, CAP, Località)</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rFonts w:eastAsia="Calibri"/>
                <w:kern w:val="0"/>
                <w:sz w:val="22"/>
                <w:szCs w:val="22"/>
              </w:rPr>
              <w:t>PIAZZA DELLA REGIONE S.N.</w:t>
            </w:r>
          </w:p>
        </w:tc>
      </w:tr>
      <w:tr>
        <w:trPr>
          <w:trHeight w:val="268"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07" w:hanging="0"/>
              <w:jc w:val="left"/>
              <w:rPr>
                <w:b/>
                <w:b/>
              </w:rPr>
            </w:pPr>
            <w:r>
              <w:rPr>
                <w:rFonts w:eastAsia="Calibri"/>
                <w:b/>
                <w:kern w:val="0"/>
                <w:sz w:val="22"/>
                <w:szCs w:val="22"/>
              </w:rPr>
              <w:t>Referente dell’Ente</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rFonts w:eastAsia="Calibri"/>
                <w:kern w:val="0"/>
                <w:sz w:val="22"/>
                <w:szCs w:val="22"/>
              </w:rPr>
              <w:t>Sindaco – dott.  VITO DI MAURO</w:t>
            </w:r>
          </w:p>
        </w:tc>
      </w:tr>
      <w:tr>
        <w:trPr>
          <w:trHeight w:val="270"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50" w:before="0" w:after="0"/>
              <w:ind w:left="107" w:hanging="0"/>
              <w:jc w:val="left"/>
              <w:rPr>
                <w:rFonts w:ascii="Calibri" w:hAnsi="Calibri" w:eastAsia="Calibri"/>
              </w:rPr>
            </w:pPr>
            <w:r>
              <w:rPr>
                <w:rFonts w:eastAsia="Calibri"/>
                <w:kern w:val="0"/>
                <w:sz w:val="22"/>
                <w:szCs w:val="22"/>
              </w:rPr>
              <w:t>Telefono</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rFonts w:eastAsia="Calibri"/>
                <w:kern w:val="0"/>
                <w:sz w:val="22"/>
                <w:szCs w:val="22"/>
              </w:rPr>
              <w:t>0957899001</w:t>
            </w:r>
          </w:p>
        </w:tc>
      </w:tr>
      <w:tr>
        <w:trPr>
          <w:trHeight w:val="267"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07" w:hanging="0"/>
              <w:jc w:val="left"/>
              <w:rPr>
                <w:rFonts w:ascii="Calibri" w:hAnsi="Calibri" w:eastAsia="Calibri"/>
              </w:rPr>
            </w:pPr>
            <w:r>
              <w:rPr>
                <w:rFonts w:eastAsia="Calibri"/>
                <w:kern w:val="0"/>
                <w:sz w:val="22"/>
                <w:szCs w:val="22"/>
              </w:rPr>
              <w:t>e-mail</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rFonts w:eastAsia="Calibri"/>
                <w:kern w:val="0"/>
                <w:sz w:val="22"/>
                <w:szCs w:val="22"/>
              </w:rPr>
            </w:r>
          </w:p>
        </w:tc>
      </w:tr>
      <w:tr>
        <w:trPr>
          <w:trHeight w:val="268"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07" w:hanging="0"/>
              <w:jc w:val="left"/>
              <w:rPr>
                <w:b/>
                <w:b/>
              </w:rPr>
            </w:pPr>
            <w:r>
              <w:rPr>
                <w:rFonts w:eastAsia="Calibri"/>
                <w:b/>
                <w:kern w:val="0"/>
                <w:sz w:val="22"/>
                <w:szCs w:val="22"/>
              </w:rPr>
              <w:t>Referente di progetto (RUP)</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rFonts w:eastAsia="Calibri"/>
                <w:kern w:val="0"/>
                <w:sz w:val="22"/>
                <w:szCs w:val="22"/>
              </w:rPr>
              <w:t>GIUSEPPE MARTINO BONACCORSO</w:t>
            </w:r>
          </w:p>
        </w:tc>
      </w:tr>
      <w:tr>
        <w:trPr>
          <w:trHeight w:val="267"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cs="Calibri" w:cstheme="minorHAnsi"/>
                <w:bCs/>
              </w:rPr>
            </w:pPr>
            <w:r>
              <w:rPr>
                <w:rFonts w:eastAsia="Calibri" w:cs="Calibri" w:cstheme="minorHAnsi"/>
                <w:bCs/>
                <w:kern w:val="0"/>
                <w:sz w:val="22"/>
                <w:szCs w:val="22"/>
              </w:rPr>
              <w:t>Telefono</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rFonts w:eastAsia="Calibri"/>
                <w:kern w:val="0"/>
                <w:sz w:val="22"/>
                <w:szCs w:val="22"/>
              </w:rPr>
              <w:t>0957899001</w:t>
            </w:r>
          </w:p>
        </w:tc>
      </w:tr>
      <w:tr>
        <w:trPr>
          <w:trHeight w:val="270"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50" w:before="0" w:after="0"/>
              <w:ind w:left="107" w:hanging="0"/>
              <w:jc w:val="left"/>
              <w:rPr>
                <w:rFonts w:ascii="Calibri" w:hAnsi="Calibri" w:eastAsia="Calibri"/>
              </w:rPr>
            </w:pPr>
            <w:r>
              <w:rPr>
                <w:rFonts w:eastAsia="Calibri"/>
                <w:kern w:val="0"/>
                <w:sz w:val="22"/>
                <w:szCs w:val="22"/>
              </w:rPr>
              <w:t>e-mail</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kern w:val="0"/>
                <w:sz w:val="22"/>
                <w:szCs w:val="22"/>
              </w:rPr>
              <w:t>ced@comune.acibonaccorsi.ct.it</w:t>
            </w:r>
          </w:p>
        </w:tc>
      </w:tr>
      <w:tr>
        <w:trPr>
          <w:trHeight w:val="268" w:hRule="atLeast"/>
        </w:trPr>
        <w:tc>
          <w:tcPr>
            <w:tcW w:w="376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07" w:hanging="0"/>
              <w:jc w:val="left"/>
              <w:rPr>
                <w:rFonts w:ascii="Calibri" w:hAnsi="Calibri" w:eastAsia="Calibri"/>
              </w:rPr>
            </w:pPr>
            <w:r>
              <w:rPr>
                <w:rFonts w:eastAsia="Calibri"/>
                <w:kern w:val="0"/>
                <w:sz w:val="22"/>
                <w:szCs w:val="22"/>
              </w:rPr>
              <w:t>PEC</w:t>
            </w:r>
          </w:p>
        </w:tc>
        <w:tc>
          <w:tcPr>
            <w:tcW w:w="609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eastAsia="Calibri"/>
              </w:rPr>
            </w:pPr>
            <w:r>
              <w:rPr>
                <w:rFonts w:eastAsia="Calibri"/>
                <w:kern w:val="0"/>
                <w:sz w:val="22"/>
                <w:szCs w:val="22"/>
              </w:rPr>
            </w:r>
          </w:p>
        </w:tc>
      </w:tr>
    </w:tbl>
    <w:p>
      <w:pPr>
        <w:pStyle w:val="Corpodeltesto"/>
        <w:rPr>
          <w:i/>
          <w:i/>
          <w:sz w:val="22"/>
          <w:szCs w:val="22"/>
        </w:rPr>
      </w:pPr>
      <w:r>
        <w:rPr>
          <w:i/>
          <w:sz w:val="22"/>
          <w:szCs w:val="22"/>
        </w:rPr>
      </w:r>
    </w:p>
    <w:p>
      <w:pPr>
        <w:pStyle w:val="Corpodeltesto"/>
        <w:spacing w:before="2" w:after="0"/>
        <w:rPr>
          <w:i/>
          <w:i/>
          <w:sz w:val="22"/>
          <w:szCs w:val="22"/>
        </w:rPr>
      </w:pPr>
      <w:r>
        <w:rPr>
          <w:i/>
          <w:sz w:val="22"/>
          <w:szCs w:val="22"/>
        </w:rPr>
        <mc:AlternateContent>
          <mc:Choice Requires="wps">
            <w:drawing>
              <wp:anchor behindDoc="0" distT="0" distB="0" distL="0" distR="0" simplePos="0" locked="0" layoutInCell="0" allowOverlap="1" relativeHeight="20">
                <wp:simplePos x="0" y="0"/>
                <wp:positionH relativeFrom="page">
                  <wp:posOffset>647700</wp:posOffset>
                </wp:positionH>
                <wp:positionV relativeFrom="paragraph">
                  <wp:posOffset>215265</wp:posOffset>
                </wp:positionV>
                <wp:extent cx="6271260" cy="405765"/>
                <wp:effectExtent l="0" t="3810" r="0" b="2540"/>
                <wp:wrapTopAndBottom/>
                <wp:docPr id="7" name="Text Box 228"/>
                <a:graphic xmlns:a="http://schemas.openxmlformats.org/drawingml/2006/main">
                  <a:graphicData uri="http://schemas.microsoft.com/office/word/2010/wordprocessingShape">
                    <wps:wsp>
                      <wps:cNvSpPr/>
                      <wps:spPr>
                        <a:xfrm>
                          <a:off x="0" y="0"/>
                          <a:ext cx="6271200" cy="405720"/>
                        </a:xfrm>
                        <a:prstGeom prst="rect">
                          <a:avLst/>
                        </a:prstGeom>
                        <a:solidFill>
                          <a:srgbClr val="f1f1f1"/>
                        </a:solidFill>
                        <a:ln w="6480">
                          <a:solidFill>
                            <a:srgbClr val="808080"/>
                          </a:solidFill>
                          <a:miter/>
                        </a:ln>
                      </wps:spPr>
                      <wps:style>
                        <a:lnRef idx="0"/>
                        <a:fillRef idx="0"/>
                        <a:effectRef idx="0"/>
                        <a:fontRef idx="minor"/>
                      </wps:style>
                      <wps:txbx>
                        <w:txbxContent>
                          <w:p>
                            <w:pPr>
                              <w:pStyle w:val="Contenutocornice"/>
                              <w:spacing w:before="16" w:after="0"/>
                              <w:ind w:left="2578" w:right="2577" w:hanging="0"/>
                              <w:jc w:val="center"/>
                              <w:rPr>
                                <w:rFonts w:ascii="Calibri Light" w:hAnsi="Calibri Light"/>
                              </w:rPr>
                            </w:pPr>
                            <w:r>
                              <w:rPr>
                                <w:rFonts w:ascii="Calibri Light" w:hAnsi="Calibri Light"/>
                                <w:color w:val="1F4D78"/>
                              </w:rPr>
                              <w:t>SEZIONE II</w:t>
                            </w:r>
                          </w:p>
                          <w:p>
                            <w:pPr>
                              <w:pStyle w:val="Contenutocornice"/>
                              <w:spacing w:before="24" w:after="0"/>
                              <w:ind w:left="2578" w:right="2579" w:hanging="0"/>
                              <w:jc w:val="center"/>
                              <w:rPr>
                                <w:rFonts w:ascii="Calibri Light" w:hAnsi="Calibri Light"/>
                              </w:rPr>
                            </w:pPr>
                            <w:r>
                              <w:rPr>
                                <w:rFonts w:ascii="Calibri Light" w:hAnsi="Calibri Light"/>
                                <w:color w:val="1F4D78"/>
                              </w:rPr>
                              <w:t>DESCRIZIONE E CARATTERISTICHE DELL’OPERAZIONE</w:t>
                            </w:r>
                          </w:p>
                        </w:txbxContent>
                      </wps:txbx>
                      <wps:bodyPr lIns="0" rIns="0" tIns="0" bIns="0" anchor="t" upright="1">
                        <a:noAutofit/>
                      </wps:bodyPr>
                    </wps:wsp>
                  </a:graphicData>
                </a:graphic>
              </wp:anchor>
            </w:drawing>
          </mc:Choice>
          <mc:Fallback>
            <w:pict>
              <v:rect id="shape_0" ID="Text Box 228" path="m0,0l-2147483645,0l-2147483645,-2147483646l0,-2147483646xe" fillcolor="#f1f1f1" stroked="t" o:allowincell="f" style="position:absolute;margin-left:51pt;margin-top:16.95pt;width:493.75pt;height:31.9pt;mso-wrap-style:square;v-text-anchor:top;mso-position-horizontal-relative:page">
                <v:fill o:detectmouseclick="t" type="solid" color2="#0e0e0e"/>
                <v:stroke color="gray" weight="6480" joinstyle="miter" endcap="flat"/>
                <v:textbox>
                  <w:txbxContent>
                    <w:p>
                      <w:pPr>
                        <w:pStyle w:val="Contenutocornice"/>
                        <w:spacing w:before="16" w:after="0"/>
                        <w:ind w:left="2578" w:right="2577" w:hanging="0"/>
                        <w:jc w:val="center"/>
                        <w:rPr>
                          <w:rFonts w:ascii="Calibri Light" w:hAnsi="Calibri Light"/>
                        </w:rPr>
                      </w:pPr>
                      <w:r>
                        <w:rPr>
                          <w:rFonts w:ascii="Calibri Light" w:hAnsi="Calibri Light"/>
                          <w:color w:val="1F4D78"/>
                        </w:rPr>
                        <w:t>SEZIONE II</w:t>
                      </w:r>
                    </w:p>
                    <w:p>
                      <w:pPr>
                        <w:pStyle w:val="Contenutocornice"/>
                        <w:spacing w:before="24" w:after="0"/>
                        <w:ind w:left="2578" w:right="2579" w:hanging="0"/>
                        <w:jc w:val="center"/>
                        <w:rPr>
                          <w:rFonts w:ascii="Calibri Light" w:hAnsi="Calibri Light"/>
                        </w:rPr>
                      </w:pPr>
                      <w:r>
                        <w:rPr>
                          <w:rFonts w:ascii="Calibri Light" w:hAnsi="Calibri Light"/>
                          <w:color w:val="1F4D78"/>
                        </w:rPr>
                        <w:t>DESCRIZIONE E CARATTERISTICHE DELL’OPERAZIONE</w:t>
                      </w:r>
                    </w:p>
                  </w:txbxContent>
                </v:textbox>
                <w10:wrap type="topAndBottom"/>
              </v:rect>
            </w:pict>
          </mc:Fallback>
        </mc:AlternateContent>
      </w:r>
    </w:p>
    <w:p>
      <w:pPr>
        <w:pStyle w:val="Corpodeltesto"/>
        <w:spacing w:before="2" w:after="0"/>
        <w:ind w:left="400" w:hanging="0"/>
        <w:rPr>
          <w:i/>
          <w:i/>
          <w:sz w:val="22"/>
          <w:szCs w:val="22"/>
        </w:rPr>
      </w:pPr>
      <w:r>
        <w:rPr>
          <w:i/>
          <w:color w:val="1F4D78"/>
          <w:sz w:val="22"/>
          <w:szCs w:val="22"/>
        </w:rPr>
        <w:t xml:space="preserve">3. Anagraficadell’Operazione </w:t>
      </w:r>
    </w:p>
    <w:tbl>
      <w:tblPr>
        <w:tblStyle w:val="TableNormal"/>
        <w:tblW w:w="9856" w:type="dxa"/>
        <w:jc w:val="left"/>
        <w:tblInd w:w="154" w:type="dxa"/>
        <w:tblLayout w:type="fixed"/>
        <w:tblCellMar>
          <w:top w:w="0" w:type="dxa"/>
          <w:left w:w="10" w:type="dxa"/>
          <w:bottom w:w="0" w:type="dxa"/>
          <w:right w:w="10" w:type="dxa"/>
        </w:tblCellMar>
        <w:tblLook w:firstRow="1" w:noVBand="0" w:lastRow="1" w:firstColumn="1" w:lastColumn="1" w:noHBand="0" w:val="01e0"/>
      </w:tblPr>
      <w:tblGrid>
        <w:gridCol w:w="2889"/>
        <w:gridCol w:w="6966"/>
      </w:tblGrid>
      <w:tr>
        <w:trPr>
          <w:trHeight w:val="270" w:hRule="atLeast"/>
        </w:trPr>
        <w:tc>
          <w:tcPr>
            <w:tcW w:w="2889"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b/>
                <w:b/>
              </w:rPr>
            </w:pPr>
            <w:r>
              <w:rPr>
                <w:rFonts w:eastAsia="Calibri"/>
                <w:kern w:val="0"/>
                <w:sz w:val="22"/>
                <w:szCs w:val="22"/>
              </w:rPr>
              <w:t>Codice CUP</w:t>
            </w:r>
          </w:p>
        </w:tc>
        <w:tc>
          <w:tcPr>
            <w:tcW w:w="696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uppressAutoHyphens w:val="true"/>
              <w:spacing w:lineRule="exact" w:line="320" w:before="0" w:after="0"/>
              <w:ind w:right="567" w:hanging="0"/>
              <w:jc w:val="left"/>
              <w:rPr>
                <w:rFonts w:ascii="Calibri" w:hAnsi="Calibri"/>
                <w:b/>
                <w:b/>
              </w:rPr>
            </w:pPr>
            <w:r>
              <w:rPr>
                <w:rFonts w:eastAsia="Calibri"/>
                <w:b/>
                <w:kern w:val="0"/>
                <w:sz w:val="22"/>
                <w:szCs w:val="22"/>
              </w:rPr>
              <w:t>G19J21009610002</w:t>
            </w:r>
          </w:p>
        </w:tc>
      </w:tr>
      <w:tr>
        <w:trPr>
          <w:trHeight w:val="268" w:hRule="atLeast"/>
        </w:trPr>
        <w:tc>
          <w:tcPr>
            <w:tcW w:w="2889"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07" w:hanging="0"/>
              <w:jc w:val="left"/>
              <w:rPr>
                <w:rFonts w:ascii="Calibri" w:hAnsi="Calibri" w:eastAsia="Calibri"/>
              </w:rPr>
            </w:pPr>
            <w:r>
              <w:rPr>
                <w:rFonts w:eastAsia="Calibri"/>
                <w:kern w:val="0"/>
                <w:sz w:val="22"/>
                <w:szCs w:val="22"/>
              </w:rPr>
              <w:t>Codice Caronte</w:t>
            </w:r>
          </w:p>
        </w:tc>
        <w:tc>
          <w:tcPr>
            <w:tcW w:w="696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b/>
                <w:b/>
                <w:shd w:fill="FFFF00" w:val="clear"/>
              </w:rPr>
            </w:pPr>
            <w:r>
              <w:rPr>
                <w:b/>
                <w:kern w:val="0"/>
                <w:sz w:val="22"/>
                <w:szCs w:val="22"/>
              </w:rPr>
              <w:t>SI_1_32403</w:t>
            </w:r>
          </w:p>
        </w:tc>
      </w:tr>
      <w:tr>
        <w:trPr>
          <w:trHeight w:val="301" w:hRule="atLeast"/>
        </w:trPr>
        <w:tc>
          <w:tcPr>
            <w:tcW w:w="2889"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107" w:hanging="0"/>
              <w:jc w:val="left"/>
              <w:rPr>
                <w:rFonts w:ascii="Calibri" w:hAnsi="Calibri" w:eastAsia="Calibri"/>
              </w:rPr>
            </w:pPr>
            <w:r>
              <w:rPr>
                <w:rFonts w:eastAsia="Calibri"/>
                <w:kern w:val="0"/>
                <w:sz w:val="22"/>
                <w:szCs w:val="22"/>
              </w:rPr>
              <w:t>Titolo Operazione</w:t>
            </w:r>
          </w:p>
        </w:tc>
        <w:tc>
          <w:tcPr>
            <w:tcW w:w="6966"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both"/>
              <w:rPr>
                <w:rFonts w:eastAsia="Calibri"/>
                <w:color w:val="000000"/>
              </w:rPr>
            </w:pPr>
            <w:r>
              <w:rPr>
                <w:rFonts w:eastAsia="Calibri" w:cs="Calibri" w:cstheme="minorHAnsi"/>
                <w:color w:val="000000"/>
                <w:kern w:val="0"/>
                <w:sz w:val="22"/>
                <w:szCs w:val="22"/>
              </w:rPr>
              <w:t>Progetto di digitalizzazione dei documenti storici</w:t>
            </w:r>
          </w:p>
        </w:tc>
      </w:tr>
      <w:tr>
        <w:trPr>
          <w:trHeight w:val="267" w:hRule="atLeast"/>
        </w:trPr>
        <w:tc>
          <w:tcPr>
            <w:tcW w:w="2889"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07" w:hanging="0"/>
              <w:jc w:val="left"/>
              <w:rPr>
                <w:rFonts w:ascii="Calibri" w:hAnsi="Calibri" w:eastAsia="Calibri"/>
              </w:rPr>
            </w:pPr>
            <w:r>
              <w:rPr>
                <w:rFonts w:eastAsia="Calibri"/>
                <w:kern w:val="0"/>
                <w:sz w:val="22"/>
                <w:szCs w:val="22"/>
              </w:rPr>
              <w:t>Settore/i Operazione</w:t>
            </w:r>
          </w:p>
        </w:tc>
        <w:tc>
          <w:tcPr>
            <w:tcW w:w="696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t>S</w:t>
            </w:r>
            <w:r>
              <w:rPr>
                <w:rFonts w:eastAsia="Calibri" w:cs="Calibri" w:cstheme="minorHAnsi"/>
                <w:color w:val="000000"/>
                <w:kern w:val="0"/>
                <w:sz w:val="22"/>
                <w:szCs w:val="22"/>
              </w:rPr>
              <w:t>ervizi per la P.A. e per la collettività</w:t>
            </w:r>
          </w:p>
        </w:tc>
      </w:tr>
      <w:tr>
        <w:trPr>
          <w:trHeight w:val="268" w:hRule="atLeast"/>
        </w:trPr>
        <w:tc>
          <w:tcPr>
            <w:tcW w:w="2889"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ind w:left="107" w:hanging="0"/>
              <w:jc w:val="left"/>
              <w:rPr>
                <w:rFonts w:ascii="Calibri" w:hAnsi="Calibri" w:eastAsia="Calibri"/>
              </w:rPr>
            </w:pPr>
            <w:r>
              <w:rPr>
                <w:rFonts w:eastAsia="Calibri"/>
                <w:kern w:val="0"/>
                <w:sz w:val="22"/>
                <w:szCs w:val="22"/>
              </w:rPr>
              <w:t>Localizzazione</w:t>
            </w:r>
          </w:p>
        </w:tc>
        <w:tc>
          <w:tcPr>
            <w:tcW w:w="696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jc w:val="left"/>
              <w:rPr>
                <w:rFonts w:ascii="Calibri" w:hAnsi="Calibri" w:eastAsia="Calibri"/>
              </w:rPr>
            </w:pPr>
            <w:r>
              <w:rPr>
                <w:rFonts w:eastAsia="Calibri"/>
                <w:kern w:val="0"/>
                <w:sz w:val="22"/>
                <w:szCs w:val="22"/>
              </w:rPr>
              <w:t>Regione Sicilia</w:t>
            </w:r>
          </w:p>
        </w:tc>
      </w:tr>
      <w:tr>
        <w:trPr>
          <w:trHeight w:val="271" w:hRule="atLeast"/>
        </w:trPr>
        <w:tc>
          <w:tcPr>
            <w:tcW w:w="2889"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before="0" w:after="0"/>
              <w:jc w:val="left"/>
              <w:rPr>
                <w:rFonts w:ascii="Calibri" w:hAnsi="Calibri" w:eastAsia="Calibri"/>
              </w:rPr>
            </w:pPr>
            <w:r>
              <w:rPr>
                <w:rFonts w:eastAsia="Calibri"/>
                <w:kern w:val="0"/>
                <w:sz w:val="22"/>
                <w:szCs w:val="22"/>
              </w:rPr>
            </w:r>
          </w:p>
        </w:tc>
        <w:tc>
          <w:tcPr>
            <w:tcW w:w="696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51" w:before="0" w:after="0"/>
              <w:jc w:val="left"/>
              <w:rPr>
                <w:rFonts w:ascii="Calibri" w:hAnsi="Calibri" w:eastAsia="Calibri"/>
              </w:rPr>
            </w:pPr>
            <w:r>
              <w:rPr>
                <w:rFonts w:eastAsia="Calibri"/>
                <w:kern w:val="0"/>
                <w:sz w:val="22"/>
                <w:szCs w:val="22"/>
              </w:rPr>
              <w:t>GAL  TERRE DI ACI</w:t>
            </w:r>
          </w:p>
        </w:tc>
      </w:tr>
    </w:tbl>
    <w:p>
      <w:pPr>
        <w:pStyle w:val="Corpodeltesto"/>
        <w:spacing w:before="1" w:after="0"/>
        <w:rPr>
          <w:i/>
          <w:i/>
          <w:sz w:val="22"/>
          <w:szCs w:val="22"/>
        </w:rPr>
      </w:pPr>
      <w:r>
        <w:rPr>
          <w:i/>
          <w:sz w:val="22"/>
          <w:szCs w:val="22"/>
        </w:rPr>
      </w:r>
    </w:p>
    <w:p>
      <w:pPr>
        <w:pStyle w:val="ListParagraph"/>
        <w:tabs>
          <w:tab w:val="clear" w:pos="720"/>
          <w:tab w:val="left" w:pos="401" w:leader="none"/>
        </w:tabs>
        <w:spacing w:before="0" w:after="13"/>
        <w:ind w:left="631" w:hanging="0"/>
        <w:rPr>
          <w:i/>
          <w:i/>
        </w:rPr>
      </w:pPr>
      <w:r>
        <w:rPr>
          <w:i/>
          <w:color w:val="1F4D78"/>
        </w:rPr>
        <w:t xml:space="preserve">4. Descrizione sinteticadell’Operazione </w:t>
      </w:r>
    </w:p>
    <w:p>
      <w:pPr>
        <w:pStyle w:val="Corpodeltesto"/>
        <w:ind w:left="153" w:hanging="0"/>
        <w:rPr>
          <w:sz w:val="22"/>
          <w:szCs w:val="22"/>
          <w:lang w:bidi="ar-SA"/>
        </w:rPr>
      </w:pPr>
      <w:r>
        <w:rPr>
          <w:sz w:val="22"/>
          <w:szCs w:val="22"/>
          <w:lang w:bidi="ar-SA"/>
        </w:rPr>
        <mc:AlternateContent>
          <mc:Choice Requires="wps">
            <w:drawing>
              <wp:anchor behindDoc="0" distT="0" distB="5715" distL="0" distR="0" simplePos="0" locked="0" layoutInCell="0" allowOverlap="1" relativeHeight="22">
                <wp:simplePos x="0" y="0"/>
                <wp:positionH relativeFrom="column">
                  <wp:posOffset>109855</wp:posOffset>
                </wp:positionH>
                <wp:positionV relativeFrom="paragraph">
                  <wp:posOffset>18415</wp:posOffset>
                </wp:positionV>
                <wp:extent cx="6236970" cy="299085"/>
                <wp:effectExtent l="5080" t="5715" r="5080" b="4445"/>
                <wp:wrapNone/>
                <wp:docPr id="9" name="Text Box 33"/>
                <a:graphic xmlns:a="http://schemas.openxmlformats.org/drawingml/2006/main">
                  <a:graphicData uri="http://schemas.microsoft.com/office/word/2010/wordprocessingShape">
                    <wps:wsp>
                      <wps:cNvSpPr/>
                      <wps:spPr>
                        <a:xfrm>
                          <a:off x="0" y="0"/>
                          <a:ext cx="6237000" cy="29916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rPr>
                                <w:rFonts w:ascii="Calibri Light" w:hAnsi="Calibri Light"/>
                              </w:rPr>
                            </w:pPr>
                            <w:r>
                              <w:rPr>
                                <w:rFonts w:ascii="Calibri Light" w:hAnsi="Calibri Light"/>
                                <w:color w:val="000000"/>
                              </w:rPr>
                              <w:t>Impianti ed infrastrutture hardware e software per centri di servizi informatici</w:t>
                            </w:r>
                          </w:p>
                        </w:txbxContent>
                      </wps:txbx>
                      <wps:bodyPr anchor="t" upright="1">
                        <a:noAutofit/>
                      </wps:bodyPr>
                    </wps:wsp>
                  </a:graphicData>
                </a:graphic>
              </wp:anchor>
            </w:drawing>
          </mc:Choice>
          <mc:Fallback>
            <w:pict>
              <v:rect id="shape_0" ID="Text Box 33" path="m0,0l-2147483645,0l-2147483645,-2147483646l0,-2147483646xe" fillcolor="white" stroked="t" o:allowincell="f" style="position:absolute;margin-left:8.65pt;margin-top:1.45pt;width:491.05pt;height:23.5pt;mso-wrap-style:square;v-text-anchor:top">
                <v:fill o:detectmouseclick="t" type="solid" color2="black"/>
                <v:stroke color="black" weight="9360" joinstyle="miter" endcap="flat"/>
                <v:textbox>
                  <w:txbxContent>
                    <w:p>
                      <w:pPr>
                        <w:pStyle w:val="Contenutocornice"/>
                        <w:rPr>
                          <w:rFonts w:ascii="Calibri Light" w:hAnsi="Calibri Light"/>
                        </w:rPr>
                      </w:pPr>
                      <w:r>
                        <w:rPr>
                          <w:rFonts w:ascii="Calibri Light" w:hAnsi="Calibri Light"/>
                          <w:color w:val="000000"/>
                        </w:rPr>
                        <w:t>Impianti ed infrastrutture hardware e software per centri di servizi informatici</w:t>
                      </w:r>
                    </w:p>
                  </w:txbxContent>
                </v:textbox>
                <w10:wrap type="none"/>
              </v:rect>
            </w:pict>
          </mc:Fallback>
        </mc:AlternateContent>
      </w:r>
    </w:p>
    <w:p>
      <w:pPr>
        <w:pStyle w:val="Normal"/>
        <w:rPr/>
      </w:pPr>
      <w:r>
        <w:rPr/>
      </w:r>
    </w:p>
    <w:p>
      <w:pPr>
        <w:pStyle w:val="Normal"/>
        <w:widowControl/>
        <w:rPr>
          <w:i/>
          <w:i/>
          <w:color w:val="1F4D78"/>
        </w:rPr>
      </w:pPr>
      <w:r>
        <w:rPr>
          <w:i/>
          <w:color w:val="1F4D78"/>
        </w:rPr>
      </w:r>
      <w:r>
        <w:br w:type="page"/>
      </w:r>
    </w:p>
    <w:p>
      <w:pPr>
        <w:pStyle w:val="ListParagraph"/>
        <w:ind w:left="632" w:hanging="0"/>
        <w:rPr>
          <w:i/>
          <w:i/>
        </w:rPr>
      </w:pPr>
      <w:r>
        <w:rPr>
          <w:i/>
          <w:color w:val="1F4D78"/>
        </w:rPr>
        <w:t>5. Anagrafica della singolaattività/progetto</w:t>
      </w:r>
      <w:r>
        <w:rPr>
          <w:color w:val="1F4E79"/>
          <w:vertAlign w:val="superscript"/>
        </w:rPr>
        <w:t>1</w:t>
      </w:r>
    </w:p>
    <w:p>
      <w:pPr>
        <w:pStyle w:val="ListParagraph"/>
        <w:numPr>
          <w:ilvl w:val="2"/>
          <w:numId w:val="1"/>
        </w:numPr>
        <w:tabs>
          <w:tab w:val="clear" w:pos="720"/>
          <w:tab w:val="left" w:pos="801" w:leader="none"/>
        </w:tabs>
        <w:spacing w:before="1" w:after="3"/>
        <w:ind w:left="800" w:hanging="569"/>
        <w:rPr>
          <w:i/>
          <w:i/>
        </w:rPr>
      </w:pPr>
      <w:r>
        <w:rPr>
          <w:i/>
          <w:color w:val="1F4E79"/>
        </w:rPr>
        <w:t>Informazionigenerali</w:t>
      </w:r>
    </w:p>
    <w:tbl>
      <w:tblPr>
        <w:tblStyle w:val="TableNormal"/>
        <w:tblW w:w="9856" w:type="dxa"/>
        <w:jc w:val="left"/>
        <w:tblInd w:w="154" w:type="dxa"/>
        <w:tblLayout w:type="fixed"/>
        <w:tblCellMar>
          <w:top w:w="0" w:type="dxa"/>
          <w:left w:w="10" w:type="dxa"/>
          <w:bottom w:w="0" w:type="dxa"/>
          <w:right w:w="10" w:type="dxa"/>
        </w:tblCellMar>
        <w:tblLook w:firstRow="1" w:noVBand="0" w:lastRow="1" w:firstColumn="1" w:lastColumn="1" w:noHBand="0" w:val="01e0"/>
      </w:tblPr>
      <w:tblGrid>
        <w:gridCol w:w="2889"/>
        <w:gridCol w:w="6966"/>
      </w:tblGrid>
      <w:tr>
        <w:trPr>
          <w:trHeight w:val="254" w:hRule="atLeast"/>
        </w:trPr>
        <w:tc>
          <w:tcPr>
            <w:tcW w:w="2889"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107" w:hanging="0"/>
              <w:jc w:val="left"/>
              <w:rPr>
                <w:rFonts w:ascii="Calibri" w:hAnsi="Calibri" w:eastAsia="Calibri"/>
              </w:rPr>
            </w:pPr>
            <w:r>
              <w:rPr>
                <w:rFonts w:eastAsia="Calibri"/>
                <w:kern w:val="0"/>
                <w:sz w:val="22"/>
                <w:szCs w:val="22"/>
              </w:rPr>
              <w:t>Titolo/oggetto</w:t>
            </w:r>
          </w:p>
        </w:tc>
        <w:tc>
          <w:tcPr>
            <w:tcW w:w="6966"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both"/>
              <w:rPr>
                <w:rFonts w:eastAsia="Calibri"/>
                <w:color w:val="000000"/>
              </w:rPr>
            </w:pPr>
            <w:r>
              <w:rPr>
                <w:rFonts w:eastAsia="Calibri" w:cs="Calibri" w:cstheme="minorHAnsi"/>
                <w:color w:val="000000"/>
                <w:kern w:val="0"/>
                <w:sz w:val="22"/>
                <w:szCs w:val="22"/>
              </w:rPr>
              <w:t>Progetto di digitalizzazione dei documenti storici</w:t>
            </w:r>
          </w:p>
        </w:tc>
      </w:tr>
      <w:tr>
        <w:trPr>
          <w:trHeight w:val="268" w:hRule="atLeast"/>
        </w:trPr>
        <w:tc>
          <w:tcPr>
            <w:tcW w:w="2889"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ind w:left="111" w:hanging="0"/>
              <w:jc w:val="left"/>
              <w:rPr>
                <w:rFonts w:ascii="Calibri" w:hAnsi="Calibri" w:eastAsia="Calibri"/>
              </w:rPr>
            </w:pPr>
            <w:r>
              <w:rPr>
                <w:rFonts w:eastAsia="Calibri"/>
                <w:kern w:val="0"/>
                <w:sz w:val="22"/>
                <w:szCs w:val="22"/>
              </w:rPr>
              <w:t>Codice CIG</w:t>
            </w:r>
          </w:p>
        </w:tc>
        <w:tc>
          <w:tcPr>
            <w:tcW w:w="6966" w:type="dxa"/>
            <w:tcBorders>
              <w:top w:val="single" w:sz="8" w:space="0" w:color="000000"/>
              <w:left w:val="single" w:sz="8" w:space="0" w:color="000000"/>
              <w:bottom w:val="single" w:sz="8" w:space="0" w:color="000000"/>
              <w:right w:val="single" w:sz="8" w:space="0" w:color="000000"/>
            </w:tcBorders>
          </w:tcPr>
          <w:tbl>
            <w:tblPr>
              <w:tblW w:w="1603"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603"/>
            </w:tblGrid>
            <w:tr>
              <w:trPr>
                <w:trHeight w:val="131" w:hRule="atLeast"/>
              </w:trPr>
              <w:tc>
                <w:tcPr>
                  <w:tcW w:w="1603" w:type="dxa"/>
                  <w:tcBorders/>
                </w:tcPr>
                <w:p>
                  <w:pPr>
                    <w:pStyle w:val="Normal"/>
                    <w:widowControl w:val="false"/>
                    <w:rPr/>
                  </w:pPr>
                  <w:r>
                    <w:rPr/>
                  </w:r>
                </w:p>
              </w:tc>
            </w:tr>
          </w:tbl>
          <w:p>
            <w:pPr>
              <w:pStyle w:val="TableParagraph"/>
              <w:widowControl w:val="false"/>
              <w:spacing w:lineRule="exact" w:line="248"/>
              <w:ind w:left="111" w:hanging="0"/>
              <w:rPr/>
            </w:pPr>
            <w:r>
              <w:rPr/>
            </w:r>
          </w:p>
        </w:tc>
      </w:tr>
      <w:tr>
        <w:trPr>
          <w:trHeight w:val="267" w:hRule="atLeast"/>
        </w:trPr>
        <w:tc>
          <w:tcPr>
            <w:tcW w:w="2889"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ind w:left="107" w:hanging="0"/>
              <w:jc w:val="left"/>
              <w:rPr>
                <w:rFonts w:ascii="Calibri" w:hAnsi="Calibri" w:eastAsia="Calibri"/>
              </w:rPr>
            </w:pPr>
            <w:r>
              <w:rPr>
                <w:rFonts w:eastAsia="Calibri"/>
                <w:kern w:val="0"/>
                <w:sz w:val="22"/>
                <w:szCs w:val="22"/>
              </w:rPr>
              <w:t>Localizzazione</w:t>
            </w:r>
          </w:p>
        </w:tc>
        <w:tc>
          <w:tcPr>
            <w:tcW w:w="696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48" w:before="0" w:after="0"/>
              <w:jc w:val="left"/>
              <w:rPr>
                <w:rFonts w:ascii="Calibri" w:hAnsi="Calibri" w:eastAsia="Calibri"/>
              </w:rPr>
            </w:pPr>
            <w:r>
              <w:rPr>
                <w:rFonts w:eastAsia="Calibri"/>
                <w:kern w:val="0"/>
                <w:sz w:val="22"/>
                <w:szCs w:val="22"/>
              </w:rPr>
              <w:t>Regione: Sicilia</w:t>
            </w:r>
          </w:p>
        </w:tc>
      </w:tr>
      <w:tr>
        <w:trPr>
          <w:trHeight w:val="270" w:hRule="atLeast"/>
        </w:trPr>
        <w:tc>
          <w:tcPr>
            <w:tcW w:w="2889" w:type="dxa"/>
            <w:vMerge w:val="continue"/>
            <w:tcBorders>
              <w:left w:val="single" w:sz="8" w:space="0" w:color="000000"/>
              <w:bottom w:val="single" w:sz="8" w:space="0" w:color="000000"/>
              <w:right w:val="single" w:sz="8" w:space="0" w:color="000000"/>
            </w:tcBorders>
          </w:tcPr>
          <w:p>
            <w:pPr>
              <w:pStyle w:val="Normal"/>
              <w:widowControl w:val="false"/>
              <w:suppressAutoHyphens w:val="true"/>
              <w:spacing w:before="0" w:after="0"/>
              <w:jc w:val="left"/>
              <w:rPr>
                <w:rFonts w:ascii="Calibri" w:hAnsi="Calibri" w:eastAsia="Calibri"/>
              </w:rPr>
            </w:pPr>
            <w:r>
              <w:rPr>
                <w:rFonts w:eastAsia="Calibri"/>
                <w:kern w:val="0"/>
                <w:sz w:val="22"/>
                <w:szCs w:val="22"/>
              </w:rPr>
            </w:r>
          </w:p>
        </w:tc>
        <w:tc>
          <w:tcPr>
            <w:tcW w:w="696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50" w:before="0" w:after="0"/>
              <w:jc w:val="left"/>
              <w:rPr>
                <w:rFonts w:ascii="Calibri" w:hAnsi="Calibri" w:eastAsia="Calibri"/>
              </w:rPr>
            </w:pPr>
            <w:r>
              <w:rPr>
                <w:rFonts w:eastAsia="Calibri"/>
                <w:kern w:val="0"/>
                <w:sz w:val="22"/>
                <w:szCs w:val="22"/>
              </w:rPr>
              <w:t>GAL TERRE DI ACI</w:t>
            </w:r>
          </w:p>
        </w:tc>
      </w:tr>
    </w:tbl>
    <w:p>
      <w:pPr>
        <w:pStyle w:val="ListParagraph"/>
        <w:numPr>
          <w:ilvl w:val="2"/>
          <w:numId w:val="1"/>
        </w:numPr>
        <w:tabs>
          <w:tab w:val="clear" w:pos="720"/>
          <w:tab w:val="left" w:pos="801" w:leader="none"/>
        </w:tabs>
        <w:spacing w:lineRule="auto" w:line="252"/>
        <w:ind w:left="571" w:right="6371" w:hanging="339"/>
        <w:rPr/>
      </w:pPr>
      <w:r>
        <mc:AlternateContent>
          <mc:Choice Requires="wps">
            <w:drawing>
              <wp:anchor behindDoc="0" distT="0" distB="0" distL="0" distR="0" simplePos="0" locked="0" layoutInCell="0" allowOverlap="1" relativeHeight="16">
                <wp:simplePos x="0" y="0"/>
                <wp:positionH relativeFrom="page">
                  <wp:posOffset>679450</wp:posOffset>
                </wp:positionH>
                <wp:positionV relativeFrom="paragraph">
                  <wp:posOffset>172085</wp:posOffset>
                </wp:positionV>
                <wp:extent cx="201930" cy="736600"/>
                <wp:effectExtent l="0" t="0" r="0" b="0"/>
                <wp:wrapNone/>
                <wp:docPr id="11" name="Text Box 218"/>
                <a:graphic xmlns:a="http://schemas.openxmlformats.org/drawingml/2006/main">
                  <a:graphicData uri="http://schemas.microsoft.com/office/word/2010/wordprocessingShape">
                    <wps:wsp>
                      <wps:cNvSpPr/>
                      <wps:spPr>
                        <a:xfrm>
                          <a:off x="0" y="0"/>
                          <a:ext cx="201960" cy="736560"/>
                        </a:xfrm>
                        <a:prstGeom prst="rect">
                          <a:avLst/>
                        </a:prstGeom>
                        <a:noFill/>
                        <a:ln w="0">
                          <a:noFill/>
                        </a:ln>
                      </wps:spPr>
                      <wps:style>
                        <a:lnRef idx="0"/>
                        <a:fillRef idx="0"/>
                        <a:effectRef idx="0"/>
                        <a:fontRef idx="minor"/>
                      </wps:style>
                      <wps:txbx>
                        <w:txbxContent>
                          <w:tbl>
                            <w:tblPr>
                              <w:tblStyle w:val="TableNormal"/>
                              <w:tblW w:w="286" w:type="dxa"/>
                              <w:jc w:val="left"/>
                              <w:tblInd w:w="21" w:type="dxa"/>
                              <w:tblLayout w:type="fixed"/>
                              <w:tblCellMar>
                                <w:top w:w="0" w:type="dxa"/>
                                <w:left w:w="7" w:type="dxa"/>
                                <w:bottom w:w="0" w:type="dxa"/>
                                <w:right w:w="7" w:type="dxa"/>
                              </w:tblCellMar>
                              <w:tblLook w:firstRow="1" w:noVBand="0" w:lastRow="1" w:firstColumn="1" w:lastColumn="1" w:noHBand="0" w:val="01e0"/>
                            </w:tblPr>
                            <w:tblGrid>
                              <w:gridCol w:w="286"/>
                            </w:tblGrid>
                            <w:tr>
                              <w:trPr>
                                <w:trHeight w:val="268" w:hRule="atLeast"/>
                              </w:trPr>
                              <w:tc>
                                <w:tcPr>
                                  <w:tcW w:w="28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rFonts w:ascii="Times New Roman" w:hAnsi="Times New Roman"/>
                                      <w:sz w:val="16"/>
                                    </w:rPr>
                                  </w:pPr>
                                  <w:r>
                                    <w:rPr>
                                      <w:rFonts w:eastAsia="Calibri" w:ascii="Times New Roman" w:hAnsi="Times New Roman"/>
                                      <w:kern w:val="0"/>
                                      <w:sz w:val="22"/>
                                      <w:szCs w:val="22"/>
                                    </w:rPr>
                                  </w:r>
                                </w:p>
                              </w:tc>
                            </w:tr>
                            <w:tr>
                              <w:trPr>
                                <w:trHeight w:val="268" w:hRule="atLeast"/>
                              </w:trPr>
                              <w:tc>
                                <w:tcPr>
                                  <w:tcW w:w="28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rFonts w:ascii="Times New Roman" w:hAnsi="Times New Roman"/>
                                      <w:sz w:val="16"/>
                                    </w:rPr>
                                  </w:pPr>
                                  <w:r>
                                    <w:rPr>
                                      <w:rFonts w:eastAsia="Calibri" w:ascii="Times New Roman" w:hAnsi="Times New Roman"/>
                                      <w:kern w:val="0"/>
                                      <w:sz w:val="22"/>
                                      <w:szCs w:val="22"/>
                                    </w:rPr>
                                  </w:r>
                                </w:p>
                              </w:tc>
                            </w:tr>
                            <w:tr>
                              <w:trPr>
                                <w:trHeight w:val="268" w:hRule="atLeast"/>
                              </w:trPr>
                              <w:tc>
                                <w:tcPr>
                                  <w:tcW w:w="28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rFonts w:cs="Calibri" w:cstheme="minorHAnsi"/>
                                      <w:sz w:val="24"/>
                                      <w:szCs w:val="24"/>
                                    </w:rPr>
                                  </w:pPr>
                                  <w:r>
                                    <w:rPr>
                                      <w:rFonts w:eastAsia="Calibri" w:cs="Calibri" w:cstheme="minorHAnsi"/>
                                      <w:kern w:val="0"/>
                                      <w:sz w:val="24"/>
                                      <w:szCs w:val="24"/>
                                    </w:rPr>
                                    <w:t>X</w:t>
                                  </w:r>
                                </w:p>
                              </w:tc>
                            </w:tr>
                            <w:tr>
                              <w:trPr>
                                <w:trHeight w:val="270" w:hRule="atLeast"/>
                              </w:trPr>
                              <w:tc>
                                <w:tcPr>
                                  <w:tcW w:w="28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rFonts w:ascii="Times New Roman" w:hAnsi="Times New Roman"/>
                                      <w:sz w:val="16"/>
                                    </w:rPr>
                                  </w:pPr>
                                  <w:r>
                                    <w:rPr>
                                      <w:rFonts w:eastAsia="Calibri" w:ascii="Times New Roman" w:hAnsi="Times New Roman"/>
                                      <w:kern w:val="0"/>
                                      <w:sz w:val="22"/>
                                      <w:szCs w:val="22"/>
                                    </w:rPr>
                                  </w:r>
                                </w:p>
                              </w:tc>
                            </w:tr>
                          </w:tbl>
                          <w:p>
                            <w:pPr>
                              <w:pStyle w:val="Corpodeltesto"/>
                              <w:rPr>
                                <w:color w:val="000000"/>
                              </w:rPr>
                            </w:pPr>
                            <w:r>
                              <w:rPr>
                                <w:color w:val="000000"/>
                              </w:rPr>
                            </w:r>
                          </w:p>
                        </w:txbxContent>
                      </wps:txbx>
                      <wps:bodyPr lIns="0" rIns="0" tIns="0" bIns="0" anchor="t" upright="1">
                        <a:noAutofit/>
                      </wps:bodyPr>
                    </wps:wsp>
                  </a:graphicData>
                </a:graphic>
              </wp:anchor>
            </w:drawing>
          </mc:Choice>
          <mc:Fallback>
            <w:pict>
              <v:rect id="shape_0" ID="Text Box 218" path="m0,0l-2147483645,0l-2147483645,-2147483646l0,-2147483646xe" stroked="f" o:allowincell="f" style="position:absolute;margin-left:53.5pt;margin-top:13.55pt;width:15.85pt;height:57.95pt;mso-wrap-style:none;v-text-anchor:middle;mso-position-horizontal-relative:page">
                <v:fill o:detectmouseclick="t" on="false"/>
                <v:stroke color="#3465a4" joinstyle="round" endcap="flat"/>
                <v:textbox>
                  <w:txbxContent>
                    <w:tbl>
                      <w:tblPr>
                        <w:tblStyle w:val="TableNormal"/>
                        <w:tblW w:w="286" w:type="dxa"/>
                        <w:jc w:val="left"/>
                        <w:tblInd w:w="21" w:type="dxa"/>
                        <w:tblLayout w:type="fixed"/>
                        <w:tblCellMar>
                          <w:top w:w="0" w:type="dxa"/>
                          <w:left w:w="7" w:type="dxa"/>
                          <w:bottom w:w="0" w:type="dxa"/>
                          <w:right w:w="7" w:type="dxa"/>
                        </w:tblCellMar>
                        <w:tblLook w:firstRow="1" w:noVBand="0" w:lastRow="1" w:firstColumn="1" w:lastColumn="1" w:noHBand="0" w:val="01e0"/>
                      </w:tblPr>
                      <w:tblGrid>
                        <w:gridCol w:w="286"/>
                      </w:tblGrid>
                      <w:tr>
                        <w:trPr>
                          <w:trHeight w:val="268" w:hRule="atLeast"/>
                        </w:trPr>
                        <w:tc>
                          <w:tcPr>
                            <w:tcW w:w="28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rFonts w:ascii="Times New Roman" w:hAnsi="Times New Roman"/>
                                <w:sz w:val="16"/>
                              </w:rPr>
                            </w:pPr>
                            <w:r>
                              <w:rPr>
                                <w:rFonts w:eastAsia="Calibri" w:ascii="Times New Roman" w:hAnsi="Times New Roman"/>
                                <w:kern w:val="0"/>
                                <w:sz w:val="22"/>
                                <w:szCs w:val="22"/>
                              </w:rPr>
                            </w:r>
                          </w:p>
                        </w:tc>
                      </w:tr>
                      <w:tr>
                        <w:trPr>
                          <w:trHeight w:val="268" w:hRule="atLeast"/>
                        </w:trPr>
                        <w:tc>
                          <w:tcPr>
                            <w:tcW w:w="28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rFonts w:ascii="Times New Roman" w:hAnsi="Times New Roman"/>
                                <w:sz w:val="16"/>
                              </w:rPr>
                            </w:pPr>
                            <w:r>
                              <w:rPr>
                                <w:rFonts w:eastAsia="Calibri" w:ascii="Times New Roman" w:hAnsi="Times New Roman"/>
                                <w:kern w:val="0"/>
                                <w:sz w:val="22"/>
                                <w:szCs w:val="22"/>
                              </w:rPr>
                            </w:r>
                          </w:p>
                        </w:tc>
                      </w:tr>
                      <w:tr>
                        <w:trPr>
                          <w:trHeight w:val="268" w:hRule="atLeast"/>
                        </w:trPr>
                        <w:tc>
                          <w:tcPr>
                            <w:tcW w:w="28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rFonts w:cs="Calibri" w:cstheme="minorHAnsi"/>
                                <w:sz w:val="24"/>
                                <w:szCs w:val="24"/>
                              </w:rPr>
                            </w:pPr>
                            <w:r>
                              <w:rPr>
                                <w:rFonts w:eastAsia="Calibri" w:cs="Calibri" w:cstheme="minorHAnsi"/>
                                <w:kern w:val="0"/>
                                <w:sz w:val="24"/>
                                <w:szCs w:val="24"/>
                              </w:rPr>
                              <w:t>X</w:t>
                            </w:r>
                          </w:p>
                        </w:tc>
                      </w:tr>
                      <w:tr>
                        <w:trPr>
                          <w:trHeight w:val="270" w:hRule="atLeast"/>
                        </w:trPr>
                        <w:tc>
                          <w:tcPr>
                            <w:tcW w:w="286"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left"/>
                              <w:rPr>
                                <w:rFonts w:ascii="Times New Roman" w:hAnsi="Times New Roman"/>
                                <w:sz w:val="16"/>
                              </w:rPr>
                            </w:pPr>
                            <w:r>
                              <w:rPr>
                                <w:rFonts w:eastAsia="Calibri" w:ascii="Times New Roman" w:hAnsi="Times New Roman"/>
                                <w:kern w:val="0"/>
                                <w:sz w:val="22"/>
                                <w:szCs w:val="22"/>
                              </w:rPr>
                            </w:r>
                          </w:p>
                        </w:tc>
                      </w:tr>
                    </w:tbl>
                    <w:p>
                      <w:pPr>
                        <w:pStyle w:val="Corpodeltesto"/>
                        <w:rPr>
                          <w:color w:val="000000"/>
                        </w:rPr>
                      </w:pPr>
                      <w:r>
                        <w:rPr>
                          <w:color w:val="000000"/>
                        </w:rPr>
                      </w:r>
                    </w:p>
                  </w:txbxContent>
                </v:textbox>
                <w10:wrap type="none"/>
              </v:rect>
            </w:pict>
          </mc:Fallback>
        </mc:AlternateContent>
      </w:r>
      <w:r>
        <w:rPr>
          <w:i/>
          <w:color w:val="1F4E79"/>
        </w:rPr>
        <w:t>Tipologia dell’attività/progetto</w:t>
      </w:r>
      <w:r>
        <w:rPr/>
        <w:t>Nuova OOPP Ampliamento/completamento OOPP Acquisizione Servizi</w:t>
      </w:r>
    </w:p>
    <w:p>
      <w:pPr>
        <w:pStyle w:val="Normal"/>
        <w:spacing w:lineRule="exact" w:line="265"/>
        <w:ind w:left="571" w:hanging="0"/>
        <w:rPr/>
      </w:pPr>
      <w:r>
        <w:rPr/>
        <w:t>Acquisto forniture</w:t>
      </w:r>
    </w:p>
    <w:p>
      <w:pPr>
        <w:pStyle w:val="Corpodeltesto"/>
        <w:spacing w:before="3" w:after="0"/>
        <w:rPr>
          <w:sz w:val="22"/>
          <w:szCs w:val="22"/>
        </w:rPr>
      </w:pPr>
      <w:r>
        <w:rPr>
          <w:sz w:val="22"/>
          <w:szCs w:val="22"/>
        </w:rPr>
      </w:r>
    </w:p>
    <w:p>
      <w:pPr>
        <w:pStyle w:val="ListParagraph"/>
        <w:numPr>
          <w:ilvl w:val="2"/>
          <w:numId w:val="1"/>
        </w:numPr>
        <w:tabs>
          <w:tab w:val="clear" w:pos="720"/>
          <w:tab w:val="left" w:pos="801" w:leader="none"/>
        </w:tabs>
        <w:ind w:left="800" w:hanging="569"/>
        <w:rPr>
          <w:i/>
          <w:i/>
        </w:rPr>
      </w:pPr>
      <w:r>
        <mc:AlternateContent>
          <mc:Choice Requires="wps">
            <w:drawing>
              <wp:anchor behindDoc="0" distT="0" distB="5080" distL="0" distR="0" simplePos="0" locked="0" layoutInCell="0" allowOverlap="1" relativeHeight="24">
                <wp:simplePos x="0" y="0"/>
                <wp:positionH relativeFrom="column">
                  <wp:posOffset>95250</wp:posOffset>
                </wp:positionH>
                <wp:positionV relativeFrom="paragraph">
                  <wp:posOffset>133985</wp:posOffset>
                </wp:positionV>
                <wp:extent cx="6292850" cy="1671320"/>
                <wp:effectExtent l="5080" t="5080" r="5080" b="5080"/>
                <wp:wrapNone/>
                <wp:docPr id="13" name="Text Box 34"/>
                <a:graphic xmlns:a="http://schemas.openxmlformats.org/drawingml/2006/main">
                  <a:graphicData uri="http://schemas.microsoft.com/office/word/2010/wordprocessingShape">
                    <wps:wsp>
                      <wps:cNvSpPr/>
                      <wps:spPr>
                        <a:xfrm>
                          <a:off x="0" y="0"/>
                          <a:ext cx="6292800" cy="1671480"/>
                        </a:xfrm>
                        <a:prstGeom prst="rect">
                          <a:avLst/>
                        </a:prstGeom>
                        <a:solidFill>
                          <a:srgbClr val="ffffff"/>
                        </a:solidFill>
                        <a:ln w="9525">
                          <a:solidFill>
                            <a:srgbClr val="000000"/>
                          </a:solidFill>
                          <a:miter/>
                        </a:ln>
                      </wps:spPr>
                      <wps:style>
                        <a:lnRef idx="0"/>
                        <a:fillRef idx="0"/>
                        <a:effectRef idx="0"/>
                        <a:fontRef idx="minor"/>
                      </wps:style>
                      <wps:txbx>
                        <w:txbxContent>
                          <w:p>
                            <w:pPr>
                              <w:pStyle w:val="Default"/>
                              <w:jc w:val="both"/>
                              <w:rPr>
                                <w:rFonts w:ascii="Calibri" w:hAnsi="Calibri" w:cs="Tahoma" w:asciiTheme="minorHAnsi" w:hAnsiTheme="minorHAnsi"/>
                                <w:sz w:val="22"/>
                                <w:szCs w:val="22"/>
                              </w:rPr>
                            </w:pPr>
                            <w:r>
                              <w:rPr>
                                <w:rFonts w:cs="Tahoma"/>
                                <w:color w:val="000000"/>
                                <w:sz w:val="22"/>
                                <w:szCs w:val="22"/>
                              </w:rPr>
                              <w:t>Il Comune di Aci Bonaccorsi si propone come obiettivo quello di migliorare la gestione del patrimonio</w:t>
                            </w:r>
                          </w:p>
                          <w:p>
                            <w:pPr>
                              <w:pStyle w:val="Default"/>
                              <w:jc w:val="both"/>
                              <w:rPr>
                                <w:rFonts w:ascii="Calibri" w:hAnsi="Calibri" w:cs="Tahoma" w:asciiTheme="minorHAnsi" w:hAnsiTheme="minorHAnsi"/>
                                <w:sz w:val="22"/>
                                <w:szCs w:val="22"/>
                              </w:rPr>
                            </w:pPr>
                            <w:r>
                              <w:rPr>
                                <w:rFonts w:cs="Tahoma"/>
                                <w:color w:val="000000"/>
                                <w:sz w:val="22"/>
                                <w:szCs w:val="22"/>
                              </w:rPr>
                              <w:t>documentale storico e del recupero e della tutela del patrimonio archivistico alla descrizione e</w:t>
                            </w:r>
                          </w:p>
                          <w:p>
                            <w:pPr>
                              <w:pStyle w:val="Default"/>
                              <w:jc w:val="both"/>
                              <w:rPr>
                                <w:rFonts w:ascii="Calibri" w:hAnsi="Calibri" w:cs="Tahoma" w:asciiTheme="minorHAnsi" w:hAnsiTheme="minorHAnsi"/>
                                <w:sz w:val="22"/>
                                <w:szCs w:val="22"/>
                              </w:rPr>
                            </w:pPr>
                            <w:r>
                              <w:rPr>
                                <w:rFonts w:cs="Tahoma"/>
                                <w:color w:val="000000"/>
                                <w:sz w:val="22"/>
                                <w:szCs w:val="22"/>
                              </w:rPr>
                              <w:t>valorizzazione dello stesso. L’Ente, si pone, inoltre l’obiettivo di creare un archivio storico che stia in</w:t>
                            </w:r>
                          </w:p>
                          <w:p>
                            <w:pPr>
                              <w:pStyle w:val="Default"/>
                              <w:jc w:val="both"/>
                              <w:rPr>
                                <w:rFonts w:ascii="Calibri" w:hAnsi="Calibri" w:cs="Tahoma" w:asciiTheme="minorHAnsi" w:hAnsiTheme="minorHAnsi"/>
                                <w:sz w:val="22"/>
                                <w:szCs w:val="22"/>
                              </w:rPr>
                            </w:pPr>
                            <w:r>
                              <w:rPr>
                                <w:rFonts w:cs="Tahoma"/>
                                <w:color w:val="000000"/>
                                <w:sz w:val="22"/>
                                <w:szCs w:val="22"/>
                              </w:rPr>
                              <w:t>un'unica area, in modo da evitare che la divisione in più comparti possa diminuirne la capacità organizzativa</w:t>
                            </w:r>
                          </w:p>
                          <w:p>
                            <w:pPr>
                              <w:pStyle w:val="Default"/>
                              <w:jc w:val="both"/>
                              <w:rPr>
                                <w:rFonts w:ascii="Calibri" w:hAnsi="Calibri" w:cs="Tahoma" w:asciiTheme="minorHAnsi" w:hAnsiTheme="minorHAnsi"/>
                                <w:sz w:val="22"/>
                                <w:szCs w:val="22"/>
                              </w:rPr>
                            </w:pPr>
                            <w:r>
                              <w:rPr>
                                <w:rFonts w:cs="Tahoma"/>
                                <w:color w:val="000000"/>
                                <w:sz w:val="22"/>
                                <w:szCs w:val="22"/>
                              </w:rPr>
                              <w:t>nei confronti dell’intera struttura.</w:t>
                            </w:r>
                          </w:p>
                        </w:txbxContent>
                      </wps:txbx>
                      <wps:bodyPr anchor="t" upright="1">
                        <a:noAutofit/>
                      </wps:bodyPr>
                    </wps:wsp>
                  </a:graphicData>
                </a:graphic>
              </wp:anchor>
            </w:drawing>
          </mc:Choice>
          <mc:Fallback>
            <w:pict>
              <v:rect id="shape_0" ID="Text Box 34" path="m0,0l-2147483645,0l-2147483645,-2147483646l0,-2147483646xe" fillcolor="white" stroked="t" o:allowincell="f" style="position:absolute;margin-left:7.5pt;margin-top:10.55pt;width:495.45pt;height:131.55pt;mso-wrap-style:square;v-text-anchor:top">
                <v:fill o:detectmouseclick="t" type="solid" color2="black"/>
                <v:stroke color="black" weight="9360" joinstyle="miter" endcap="flat"/>
                <v:textbox>
                  <w:txbxContent>
                    <w:p>
                      <w:pPr>
                        <w:pStyle w:val="Default"/>
                        <w:jc w:val="both"/>
                        <w:rPr>
                          <w:rFonts w:ascii="Calibri" w:hAnsi="Calibri" w:cs="Tahoma" w:asciiTheme="minorHAnsi" w:hAnsiTheme="minorHAnsi"/>
                          <w:sz w:val="22"/>
                          <w:szCs w:val="22"/>
                        </w:rPr>
                      </w:pPr>
                      <w:r>
                        <w:rPr>
                          <w:rFonts w:cs="Tahoma"/>
                          <w:color w:val="000000"/>
                          <w:sz w:val="22"/>
                          <w:szCs w:val="22"/>
                        </w:rPr>
                        <w:t>Il Comune di Aci Bonaccorsi si propone come obiettivo quello di migliorare la gestione del patrimonio</w:t>
                      </w:r>
                    </w:p>
                    <w:p>
                      <w:pPr>
                        <w:pStyle w:val="Default"/>
                        <w:jc w:val="both"/>
                        <w:rPr>
                          <w:rFonts w:ascii="Calibri" w:hAnsi="Calibri" w:cs="Tahoma" w:asciiTheme="minorHAnsi" w:hAnsiTheme="minorHAnsi"/>
                          <w:sz w:val="22"/>
                          <w:szCs w:val="22"/>
                        </w:rPr>
                      </w:pPr>
                      <w:r>
                        <w:rPr>
                          <w:rFonts w:cs="Tahoma"/>
                          <w:color w:val="000000"/>
                          <w:sz w:val="22"/>
                          <w:szCs w:val="22"/>
                        </w:rPr>
                        <w:t>documentale storico e del recupero e della tutela del patrimonio archivistico alla descrizione e</w:t>
                      </w:r>
                    </w:p>
                    <w:p>
                      <w:pPr>
                        <w:pStyle w:val="Default"/>
                        <w:jc w:val="both"/>
                        <w:rPr>
                          <w:rFonts w:ascii="Calibri" w:hAnsi="Calibri" w:cs="Tahoma" w:asciiTheme="minorHAnsi" w:hAnsiTheme="minorHAnsi"/>
                          <w:sz w:val="22"/>
                          <w:szCs w:val="22"/>
                        </w:rPr>
                      </w:pPr>
                      <w:r>
                        <w:rPr>
                          <w:rFonts w:cs="Tahoma"/>
                          <w:color w:val="000000"/>
                          <w:sz w:val="22"/>
                          <w:szCs w:val="22"/>
                        </w:rPr>
                        <w:t>valorizzazione dello stesso. L’Ente, si pone, inoltre l’obiettivo di creare un archivio storico che stia in</w:t>
                      </w:r>
                    </w:p>
                    <w:p>
                      <w:pPr>
                        <w:pStyle w:val="Default"/>
                        <w:jc w:val="both"/>
                        <w:rPr>
                          <w:rFonts w:ascii="Calibri" w:hAnsi="Calibri" w:cs="Tahoma" w:asciiTheme="minorHAnsi" w:hAnsiTheme="minorHAnsi"/>
                          <w:sz w:val="22"/>
                          <w:szCs w:val="22"/>
                        </w:rPr>
                      </w:pPr>
                      <w:r>
                        <w:rPr>
                          <w:rFonts w:cs="Tahoma"/>
                          <w:color w:val="000000"/>
                          <w:sz w:val="22"/>
                          <w:szCs w:val="22"/>
                        </w:rPr>
                        <w:t>un'unica area, in modo da evitare che la divisione in più comparti possa diminuirne la capacità organizzativa</w:t>
                      </w:r>
                    </w:p>
                    <w:p>
                      <w:pPr>
                        <w:pStyle w:val="Default"/>
                        <w:jc w:val="both"/>
                        <w:rPr>
                          <w:rFonts w:ascii="Calibri" w:hAnsi="Calibri" w:cs="Tahoma" w:asciiTheme="minorHAnsi" w:hAnsiTheme="minorHAnsi"/>
                          <w:sz w:val="22"/>
                          <w:szCs w:val="22"/>
                        </w:rPr>
                      </w:pPr>
                      <w:r>
                        <w:rPr>
                          <w:rFonts w:cs="Tahoma"/>
                          <w:color w:val="000000"/>
                          <w:sz w:val="22"/>
                          <w:szCs w:val="22"/>
                        </w:rPr>
                        <w:t>nei confronti dell’intera struttura.</w:t>
                      </w:r>
                    </w:p>
                  </w:txbxContent>
                </v:textbox>
                <w10:wrap type="none"/>
              </v:rect>
            </w:pict>
          </mc:Fallback>
        </mc:AlternateContent>
      </w:r>
      <w:r>
        <w:rPr>
          <w:i/>
          <w:color w:val="1F4E79"/>
        </w:rPr>
        <w:t>Descrizione sinteticadell’attività/progetto</w:t>
      </w:r>
    </w:p>
    <w:p>
      <w:pPr>
        <w:pStyle w:val="ListParagraph"/>
        <w:numPr>
          <w:ilvl w:val="2"/>
          <w:numId w:val="1"/>
        </w:numPr>
        <w:tabs>
          <w:tab w:val="clear" w:pos="720"/>
          <w:tab w:val="left" w:pos="801" w:leader="none"/>
        </w:tabs>
        <w:ind w:left="800" w:hanging="569"/>
        <w:rPr>
          <w:i/>
          <w:i/>
        </w:rPr>
      </w:pPr>
      <w:r>
        <w:rPr>
          <w:i/>
        </w:rPr>
      </w:r>
    </w:p>
    <w:p>
      <w:pPr>
        <w:pStyle w:val="Corpodeltesto"/>
        <w:ind w:left="153" w:hanging="0"/>
        <w:rPr>
          <w:sz w:val="22"/>
          <w:szCs w:val="22"/>
        </w:rPr>
      </w:pPr>
      <w:r>
        <w:rPr>
          <w:sz w:val="22"/>
          <w:szCs w:val="22"/>
        </w:rPr>
      </w:r>
    </w:p>
    <w:p>
      <w:pPr>
        <w:pStyle w:val="Corpodeltesto"/>
        <w:rPr>
          <w:i/>
          <w:i/>
          <w:sz w:val="22"/>
          <w:szCs w:val="22"/>
        </w:rPr>
      </w:pPr>
      <w:r>
        <w:rPr>
          <w:i/>
          <w:sz w:val="22"/>
          <w:szCs w:val="22"/>
        </w:rPr>
      </w:r>
    </w:p>
    <w:p>
      <w:pPr>
        <w:pStyle w:val="Corpodeltesto"/>
        <w:rPr>
          <w:i/>
          <w:i/>
          <w:sz w:val="22"/>
          <w:szCs w:val="22"/>
        </w:rPr>
      </w:pPr>
      <w:r>
        <w:rPr>
          <w:i/>
          <w:sz w:val="22"/>
          <w:szCs w:val="22"/>
        </w:rPr>
      </w:r>
    </w:p>
    <w:p>
      <w:pPr>
        <w:pStyle w:val="Corpodeltesto"/>
        <w:spacing w:before="10" w:after="0"/>
        <w:rPr>
          <w:i/>
          <w:i/>
          <w:sz w:val="22"/>
          <w:szCs w:val="22"/>
        </w:rPr>
      </w:pPr>
      <w:r>
        <w:rPr>
          <w:i/>
          <w:sz w:val="22"/>
          <w:szCs w:val="22"/>
        </w:rPr>
      </w:r>
    </w:p>
    <w:p>
      <w:pPr>
        <w:pStyle w:val="Corpodeltesto"/>
        <w:spacing w:before="10" w:after="0"/>
        <w:rPr>
          <w:i/>
          <w:i/>
          <w:sz w:val="22"/>
          <w:szCs w:val="22"/>
        </w:rPr>
      </w:pPr>
      <w:r>
        <w:rPr>
          <w:i/>
          <w:sz w:val="22"/>
          <w:szCs w:val="22"/>
        </w:rPr>
      </w:r>
    </w:p>
    <w:p>
      <w:pPr>
        <w:pStyle w:val="Corpodeltesto"/>
        <w:spacing w:before="10" w:after="0"/>
        <w:rPr>
          <w:i/>
          <w:i/>
          <w:sz w:val="22"/>
          <w:szCs w:val="22"/>
        </w:rPr>
      </w:pPr>
      <w:r>
        <w:rPr>
          <w:i/>
          <w:sz w:val="22"/>
          <w:szCs w:val="22"/>
        </w:rPr>
      </w:r>
    </w:p>
    <w:p>
      <w:pPr>
        <w:pStyle w:val="Corpodeltesto"/>
        <w:spacing w:before="10" w:after="0"/>
        <w:rPr>
          <w:i/>
          <w:i/>
          <w:sz w:val="22"/>
          <w:szCs w:val="22"/>
        </w:rPr>
      </w:pPr>
      <w:r>
        <w:rPr>
          <w:i/>
          <w:sz w:val="22"/>
          <w:szCs w:val="22"/>
        </w:rPr>
      </w:r>
    </w:p>
    <w:p>
      <w:pPr>
        <w:pStyle w:val="Corpodeltesto"/>
        <w:spacing w:before="10" w:after="0"/>
        <w:rPr>
          <w:i/>
          <w:i/>
          <w:sz w:val="22"/>
          <w:szCs w:val="22"/>
        </w:rPr>
      </w:pPr>
      <w:r>
        <w:rPr>
          <w:i/>
          <w:sz w:val="22"/>
          <w:szCs w:val="22"/>
        </w:rPr>
      </w:r>
    </w:p>
    <w:p>
      <w:pPr>
        <w:pStyle w:val="Corpodeltesto"/>
        <w:spacing w:before="10" w:after="0"/>
        <w:rPr>
          <w:i/>
          <w:i/>
          <w:sz w:val="22"/>
          <w:szCs w:val="22"/>
        </w:rPr>
      </w:pPr>
      <w:r>
        <w:rPr>
          <w:i/>
          <w:sz w:val="22"/>
          <w:szCs w:val="22"/>
        </w:rPr>
      </w:r>
    </w:p>
    <w:p>
      <w:pPr>
        <w:pStyle w:val="ListParagraph"/>
        <w:numPr>
          <w:ilvl w:val="0"/>
          <w:numId w:val="3"/>
        </w:numPr>
        <w:tabs>
          <w:tab w:val="clear" w:pos="720"/>
          <w:tab w:val="left" w:pos="401" w:leader="none"/>
        </w:tabs>
        <w:spacing w:before="96" w:after="0"/>
        <w:rPr>
          <w:i/>
          <w:i/>
        </w:rPr>
      </w:pPr>
      <w:r>
        <w:rPr>
          <w:i/>
          <w:color w:val="1F4D78"/>
        </w:rPr>
        <w:t>Cronogrammadell’Operazione</w:t>
      </w:r>
      <w:r>
        <w:rPr>
          <w:i/>
          <w:color w:val="1F4D78"/>
          <w:vertAlign w:val="superscript"/>
        </w:rPr>
        <w:t>2</w:t>
      </w:r>
    </w:p>
    <w:p>
      <w:pPr>
        <w:pStyle w:val="Corpodeltesto"/>
        <w:spacing w:before="8" w:after="0"/>
        <w:rPr>
          <w:sz w:val="22"/>
          <w:szCs w:val="22"/>
        </w:rPr>
      </w:pPr>
      <w:r>
        <w:rPr>
          <w:sz w:val="22"/>
          <w:szCs w:val="22"/>
        </w:rPr>
        <mc:AlternateContent>
          <mc:Choice Requires="wps">
            <w:drawing>
              <wp:anchor behindDoc="0" distT="0" distB="0" distL="0" distR="0" simplePos="0" locked="0" layoutInCell="0" allowOverlap="1" relativeHeight="14">
                <wp:simplePos x="0" y="0"/>
                <wp:positionH relativeFrom="page">
                  <wp:posOffset>647700</wp:posOffset>
                </wp:positionH>
                <wp:positionV relativeFrom="paragraph">
                  <wp:posOffset>158750</wp:posOffset>
                </wp:positionV>
                <wp:extent cx="6271260" cy="407670"/>
                <wp:effectExtent l="0" t="3175" r="0" b="3175"/>
                <wp:wrapTopAndBottom/>
                <wp:docPr id="15" name="Text Box 212"/>
                <a:graphic xmlns:a="http://schemas.openxmlformats.org/drawingml/2006/main">
                  <a:graphicData uri="http://schemas.microsoft.com/office/word/2010/wordprocessingShape">
                    <wps:wsp>
                      <wps:cNvSpPr/>
                      <wps:spPr>
                        <a:xfrm>
                          <a:off x="0" y="0"/>
                          <a:ext cx="6271200" cy="407520"/>
                        </a:xfrm>
                        <a:prstGeom prst="rect">
                          <a:avLst/>
                        </a:prstGeom>
                        <a:solidFill>
                          <a:srgbClr val="f1f1f1"/>
                        </a:solidFill>
                        <a:ln w="6480">
                          <a:solidFill>
                            <a:srgbClr val="808080"/>
                          </a:solidFill>
                          <a:miter/>
                        </a:ln>
                      </wps:spPr>
                      <wps:style>
                        <a:lnRef idx="0"/>
                        <a:fillRef idx="0"/>
                        <a:effectRef idx="0"/>
                        <a:fontRef idx="minor"/>
                      </wps:style>
                      <wps:txbx>
                        <w:txbxContent>
                          <w:p>
                            <w:pPr>
                              <w:pStyle w:val="Contenutocornice"/>
                              <w:spacing w:lineRule="auto" w:line="259" w:before="18" w:after="0"/>
                              <w:ind w:left="3118" w:right="3099" w:firstLine="1327"/>
                              <w:rPr>
                                <w:rFonts w:ascii="Calibri Light" w:hAnsi="Calibri Light"/>
                              </w:rPr>
                            </w:pPr>
                            <w:r>
                              <w:rPr>
                                <w:rFonts w:ascii="Calibri Light" w:hAnsi="Calibri Light"/>
                                <w:color w:val="1F4D78"/>
                              </w:rPr>
                              <w:t>SEZIONE III AVANZAMENTO TECNICO PROCEDURALE</w:t>
                            </w:r>
                          </w:p>
                        </w:txbxContent>
                      </wps:txbx>
                      <wps:bodyPr lIns="0" rIns="0" tIns="0" bIns="0" anchor="t" upright="1">
                        <a:noAutofit/>
                      </wps:bodyPr>
                    </wps:wsp>
                  </a:graphicData>
                </a:graphic>
              </wp:anchor>
            </w:drawing>
          </mc:Choice>
          <mc:Fallback>
            <w:pict>
              <v:rect id="shape_0" ID="Text Box 212" path="m0,0l-2147483645,0l-2147483645,-2147483646l0,-2147483646xe" fillcolor="#f1f1f1" stroked="t" o:allowincell="f" style="position:absolute;margin-left:51pt;margin-top:12.5pt;width:493.75pt;height:32.05pt;mso-wrap-style:square;v-text-anchor:top;mso-position-horizontal-relative:page">
                <v:fill o:detectmouseclick="t" type="solid" color2="#0e0e0e"/>
                <v:stroke color="gray" weight="6480" joinstyle="miter" endcap="flat"/>
                <v:textbox>
                  <w:txbxContent>
                    <w:p>
                      <w:pPr>
                        <w:pStyle w:val="Contenutocornice"/>
                        <w:spacing w:lineRule="auto" w:line="259" w:before="18" w:after="0"/>
                        <w:ind w:left="3118" w:right="3099" w:firstLine="1327"/>
                        <w:rPr>
                          <w:rFonts w:ascii="Calibri Light" w:hAnsi="Calibri Light"/>
                        </w:rPr>
                      </w:pPr>
                      <w:r>
                        <w:rPr>
                          <w:rFonts w:ascii="Calibri Light" w:hAnsi="Calibri Light"/>
                          <w:color w:val="1F4D78"/>
                        </w:rPr>
                        <w:t>SEZIONE III AVANZAMENTO TECNICO PROCEDURALE</w:t>
                      </w:r>
                    </w:p>
                  </w:txbxContent>
                </v:textbox>
                <w10:wrap type="topAndBottom"/>
              </v:rect>
            </w:pict>
          </mc:Fallback>
        </mc:AlternateContent>
      </w:r>
    </w:p>
    <w:p>
      <w:pPr>
        <w:pStyle w:val="Normal"/>
        <w:ind w:left="232" w:hanging="0"/>
        <w:rPr>
          <w:b/>
          <w:b/>
        </w:rPr>
      </w:pPr>
      <w:r>
        <w:rPr>
          <w:b/>
          <w:u w:val="single"/>
        </w:rPr>
        <w:t>Cronoprogramma da adottare per tipologia Acquisizione di beni o servizi :</w:t>
      </w:r>
    </w:p>
    <w:p>
      <w:pPr>
        <w:pStyle w:val="Corpodeltesto"/>
        <w:spacing w:before="8" w:after="0"/>
        <w:rPr>
          <w:b/>
          <w:b/>
          <w:sz w:val="22"/>
          <w:szCs w:val="22"/>
        </w:rPr>
      </w:pPr>
      <w:r>
        <w:rPr>
          <w:b/>
          <w:sz w:val="22"/>
          <w:szCs w:val="22"/>
        </w:rPr>
      </w:r>
    </w:p>
    <w:p>
      <w:pPr>
        <w:pStyle w:val="Corpodeltesto"/>
        <w:spacing w:before="8" w:after="0"/>
        <w:rPr>
          <w:b/>
          <w:b/>
          <w:sz w:val="22"/>
          <w:szCs w:val="22"/>
        </w:rPr>
      </w:pPr>
      <w:r>
        <w:rPr>
          <w:b/>
          <w:sz w:val="22"/>
          <w:szCs w:val="22"/>
        </w:rPr>
      </w:r>
    </w:p>
    <w:tbl>
      <w:tblPr>
        <w:tblStyle w:val="TableNormal"/>
        <w:tblW w:w="9533" w:type="dxa"/>
        <w:jc w:val="left"/>
        <w:tblInd w:w="307" w:type="dxa"/>
        <w:tblLayout w:type="fixed"/>
        <w:tblCellMar>
          <w:top w:w="0" w:type="dxa"/>
          <w:left w:w="15" w:type="dxa"/>
          <w:bottom w:w="0" w:type="dxa"/>
          <w:right w:w="5" w:type="dxa"/>
        </w:tblCellMar>
        <w:tblLook w:firstRow="1" w:noVBand="0" w:lastRow="1" w:firstColumn="1" w:lastColumn="1" w:noHBand="0" w:val="01e0"/>
      </w:tblPr>
      <w:tblGrid>
        <w:gridCol w:w="1722"/>
        <w:gridCol w:w="1781"/>
        <w:gridCol w:w="1831"/>
        <w:gridCol w:w="1810"/>
        <w:gridCol w:w="1601"/>
        <w:gridCol w:w="787"/>
      </w:tblGrid>
      <w:tr>
        <w:trPr>
          <w:trHeight w:val="1227" w:hRule="atLeast"/>
        </w:trPr>
        <w:tc>
          <w:tcPr>
            <w:tcW w:w="1722" w:type="dxa"/>
            <w:tcBorders>
              <w:top w:val="single" w:sz="12" w:space="0" w:color="000000"/>
              <w:left w:val="single" w:sz="12" w:space="0" w:color="000000"/>
              <w:bottom w:val="single" w:sz="4" w:space="0" w:color="000000"/>
              <w:right w:val="single" w:sz="4" w:space="0" w:color="000000"/>
            </w:tcBorders>
            <w:shd w:color="auto" w:fill="BCD5ED" w:val="clear"/>
            <w:textDirection w:val="btLr"/>
          </w:tcPr>
          <w:p>
            <w:pPr>
              <w:pStyle w:val="TableParagraph"/>
              <w:widowControl w:val="false"/>
              <w:suppressAutoHyphens w:val="true"/>
              <w:spacing w:before="0" w:after="0"/>
              <w:jc w:val="left"/>
              <w:rPr>
                <w:b/>
                <w:b/>
              </w:rPr>
            </w:pPr>
            <w:r>
              <w:rPr>
                <w:rFonts w:eastAsia="Calibri"/>
                <w:b/>
                <w:kern w:val="0"/>
                <w:sz w:val="22"/>
                <w:szCs w:val="22"/>
              </w:rPr>
            </w:r>
          </w:p>
          <w:p>
            <w:pPr>
              <w:pStyle w:val="TableParagraph"/>
              <w:widowControl w:val="false"/>
              <w:suppressAutoHyphens w:val="true"/>
              <w:spacing w:before="0" w:after="0"/>
              <w:jc w:val="left"/>
              <w:rPr>
                <w:b/>
                <w:b/>
              </w:rPr>
            </w:pPr>
            <w:r>
              <w:rPr>
                <w:rFonts w:eastAsia="Calibri"/>
                <w:b/>
                <w:kern w:val="0"/>
                <w:sz w:val="22"/>
                <w:szCs w:val="22"/>
              </w:rPr>
            </w:r>
          </w:p>
          <w:p>
            <w:pPr>
              <w:pStyle w:val="TableParagraph"/>
              <w:widowControl w:val="false"/>
              <w:suppressAutoHyphens w:val="true"/>
              <w:spacing w:before="8" w:after="0"/>
              <w:jc w:val="left"/>
              <w:rPr>
                <w:b/>
                <w:b/>
              </w:rPr>
            </w:pPr>
            <w:r>
              <w:rPr>
                <w:rFonts w:eastAsia="Calibri"/>
                <w:b/>
                <w:kern w:val="0"/>
                <w:sz w:val="22"/>
                <w:szCs w:val="22"/>
              </w:rPr>
            </w:r>
          </w:p>
          <w:p>
            <w:pPr>
              <w:pStyle w:val="TableParagraph"/>
              <w:widowControl w:val="false"/>
              <w:suppressAutoHyphens w:val="true"/>
              <w:spacing w:before="0" w:after="0"/>
              <w:ind w:left="194" w:right="194" w:firstLine="7"/>
              <w:jc w:val="both"/>
              <w:rPr>
                <w:b/>
                <w:b/>
              </w:rPr>
            </w:pPr>
            <w:r>
              <w:rPr>
                <w:rFonts w:eastAsia="Calibri"/>
                <w:b/>
                <w:kern w:val="0"/>
                <w:sz w:val="22"/>
                <w:szCs w:val="22"/>
              </w:rPr>
              <w:t xml:space="preserve">Sottoscrizione disciplinare di </w:t>
            </w:r>
            <w:r>
              <w:rPr>
                <w:rFonts w:eastAsia="Calibri"/>
                <w:b/>
                <w:w w:val="95"/>
                <w:kern w:val="0"/>
                <w:sz w:val="22"/>
                <w:szCs w:val="22"/>
              </w:rPr>
              <w:t>finanziamento</w:t>
            </w:r>
          </w:p>
        </w:tc>
        <w:tc>
          <w:tcPr>
            <w:tcW w:w="1781" w:type="dxa"/>
            <w:tcBorders>
              <w:top w:val="single" w:sz="12" w:space="0" w:color="000000"/>
              <w:left w:val="single" w:sz="4" w:space="0" w:color="000000"/>
              <w:bottom w:val="single" w:sz="4" w:space="0" w:color="000000"/>
              <w:right w:val="single" w:sz="4" w:space="0" w:color="000000"/>
            </w:tcBorders>
          </w:tcPr>
          <w:p>
            <w:pPr>
              <w:pStyle w:val="TableParagraph"/>
              <w:widowControl w:val="false"/>
              <w:suppressAutoHyphens w:val="true"/>
              <w:spacing w:before="29" w:after="0"/>
              <w:ind w:left="258" w:right="227" w:hanging="0"/>
              <w:jc w:val="center"/>
              <w:rPr>
                <w:rFonts w:ascii="Calibri" w:hAnsi="Calibri" w:eastAsia="Calibri"/>
              </w:rPr>
            </w:pPr>
            <w:r>
              <w:rPr>
                <w:rFonts w:eastAsia="Calibri"/>
                <w:kern w:val="0"/>
                <w:sz w:val="22"/>
                <w:szCs w:val="22"/>
              </w:rPr>
              <w:t>Espletamento procedure di evidenza pubblica per</w:t>
            </w:r>
          </w:p>
          <w:p>
            <w:pPr>
              <w:pStyle w:val="TableParagraph"/>
              <w:widowControl w:val="false"/>
              <w:suppressAutoHyphens w:val="true"/>
              <w:spacing w:before="0" w:after="0"/>
              <w:ind w:left="129" w:right="98" w:firstLine="1"/>
              <w:jc w:val="center"/>
              <w:rPr>
                <w:rFonts w:ascii="Calibri" w:hAnsi="Calibri" w:eastAsia="Calibri"/>
              </w:rPr>
            </w:pPr>
            <w:r>
              <w:rPr>
                <w:rFonts w:eastAsia="Calibri"/>
                <w:kern w:val="0"/>
                <w:sz w:val="22"/>
                <w:szCs w:val="22"/>
              </w:rPr>
              <w:t>l’individuazione del soggetto incaricato della fornitura del bene finanziato/eroga eroga del servizio finanziato e stipula contratto</w:t>
            </w:r>
          </w:p>
        </w:tc>
        <w:tc>
          <w:tcPr>
            <w:tcW w:w="1831" w:type="dxa"/>
            <w:tcBorders>
              <w:top w:val="single" w:sz="12"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2" w:after="0"/>
              <w:jc w:val="left"/>
              <w:rPr>
                <w:rFonts w:ascii="Calibri" w:hAnsi="Calibri" w:eastAsia="Calibri"/>
              </w:rPr>
            </w:pPr>
            <w:r>
              <w:rPr>
                <w:rFonts w:eastAsia="Calibri"/>
                <w:kern w:val="0"/>
                <w:sz w:val="22"/>
                <w:szCs w:val="22"/>
              </w:rPr>
            </w:r>
          </w:p>
          <w:p>
            <w:pPr>
              <w:pStyle w:val="TableParagraph"/>
              <w:widowControl w:val="false"/>
              <w:suppressAutoHyphens w:val="true"/>
              <w:spacing w:before="0" w:after="0"/>
              <w:ind w:left="409" w:right="157" w:hanging="202"/>
              <w:jc w:val="left"/>
              <w:rPr>
                <w:rFonts w:ascii="Calibri" w:hAnsi="Calibri" w:eastAsia="Calibri"/>
              </w:rPr>
            </w:pPr>
            <w:r>
              <w:rPr>
                <w:rFonts w:eastAsia="Calibri"/>
                <w:kern w:val="0"/>
                <w:sz w:val="22"/>
                <w:szCs w:val="22"/>
              </w:rPr>
              <w:t>Acquisizione beni finanziati / espletamento servizi</w:t>
            </w:r>
          </w:p>
        </w:tc>
        <w:tc>
          <w:tcPr>
            <w:tcW w:w="1810" w:type="dxa"/>
            <w:tcBorders>
              <w:top w:val="single" w:sz="12"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4" w:after="0"/>
              <w:jc w:val="left"/>
              <w:rPr>
                <w:rFonts w:ascii="Calibri" w:hAnsi="Calibri" w:eastAsia="Calibri"/>
              </w:rPr>
            </w:pPr>
            <w:r>
              <w:rPr>
                <w:rFonts w:eastAsia="Calibri"/>
                <w:kern w:val="0"/>
                <w:sz w:val="22"/>
                <w:szCs w:val="22"/>
              </w:rPr>
            </w:r>
          </w:p>
          <w:p>
            <w:pPr>
              <w:pStyle w:val="TableParagraph"/>
              <w:widowControl w:val="false"/>
              <w:suppressAutoHyphens w:val="true"/>
              <w:spacing w:before="0" w:after="0"/>
              <w:ind w:left="296" w:right="88" w:hanging="164"/>
              <w:jc w:val="left"/>
              <w:rPr>
                <w:rFonts w:ascii="Calibri" w:hAnsi="Calibri" w:eastAsia="Calibri"/>
              </w:rPr>
            </w:pPr>
            <w:r>
              <w:rPr>
                <w:rFonts w:eastAsia="Calibri"/>
                <w:kern w:val="0"/>
                <w:sz w:val="22"/>
                <w:szCs w:val="22"/>
              </w:rPr>
              <w:t>Verifiche finali sulla conformità dei beni/servizi acquisiti</w:t>
            </w:r>
          </w:p>
        </w:tc>
        <w:tc>
          <w:tcPr>
            <w:tcW w:w="1601" w:type="dxa"/>
            <w:tcBorders>
              <w:top w:val="single" w:sz="12"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103" w:after="0"/>
              <w:ind w:left="238" w:hanging="0"/>
              <w:jc w:val="left"/>
              <w:rPr>
                <w:rFonts w:ascii="Calibri" w:hAnsi="Calibri" w:eastAsia="Calibri"/>
              </w:rPr>
            </w:pPr>
            <w:r>
              <w:rPr>
                <w:rFonts w:eastAsia="Calibri"/>
                <w:kern w:val="0"/>
                <w:sz w:val="22"/>
                <w:szCs w:val="22"/>
              </w:rPr>
              <w:t>Rendicontazione finale</w:t>
            </w:r>
          </w:p>
        </w:tc>
        <w:tc>
          <w:tcPr>
            <w:tcW w:w="787" w:type="dxa"/>
            <w:tcBorders>
              <w:top w:val="single" w:sz="12" w:space="0" w:color="000000"/>
              <w:left w:val="single" w:sz="4" w:space="0" w:color="000000"/>
              <w:bottom w:val="single" w:sz="4" w:space="0" w:color="000000"/>
              <w:right w:val="single" w:sz="12"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0" w:after="0"/>
              <w:jc w:val="left"/>
              <w:rPr>
                <w:rFonts w:ascii="Calibri" w:hAnsi="Calibri" w:eastAsia="Calibri"/>
              </w:rPr>
            </w:pPr>
            <w:r>
              <w:rPr>
                <w:rFonts w:eastAsia="Calibri"/>
                <w:kern w:val="0"/>
                <w:sz w:val="22"/>
                <w:szCs w:val="22"/>
              </w:rPr>
            </w:r>
          </w:p>
          <w:p>
            <w:pPr>
              <w:pStyle w:val="TableParagraph"/>
              <w:widowControl w:val="false"/>
              <w:suppressAutoHyphens w:val="true"/>
              <w:spacing w:before="4" w:after="0"/>
              <w:jc w:val="left"/>
              <w:rPr>
                <w:rFonts w:ascii="Calibri" w:hAnsi="Calibri" w:eastAsia="Calibri"/>
              </w:rPr>
            </w:pPr>
            <w:r>
              <w:rPr>
                <w:rFonts w:eastAsia="Calibri"/>
                <w:kern w:val="0"/>
                <w:sz w:val="22"/>
                <w:szCs w:val="22"/>
              </w:rPr>
            </w:r>
          </w:p>
          <w:p>
            <w:pPr>
              <w:pStyle w:val="TableParagraph"/>
              <w:widowControl w:val="false"/>
              <w:suppressAutoHyphens w:val="true"/>
              <w:spacing w:before="0" w:after="0"/>
              <w:ind w:left="246" w:right="189" w:hanging="3"/>
              <w:jc w:val="left"/>
              <w:rPr>
                <w:rFonts w:ascii="Calibri" w:hAnsi="Calibri" w:eastAsia="Calibri"/>
              </w:rPr>
            </w:pPr>
            <w:r>
              <w:rPr>
                <w:rFonts w:eastAsia="Calibri"/>
                <w:kern w:val="0"/>
                <w:sz w:val="22"/>
                <w:szCs w:val="22"/>
              </w:rPr>
              <w:t>Totale (mesi)</w:t>
            </w:r>
          </w:p>
        </w:tc>
      </w:tr>
      <w:tr>
        <w:trPr>
          <w:trHeight w:val="412" w:hRule="atLeast"/>
        </w:trPr>
        <w:tc>
          <w:tcPr>
            <w:tcW w:w="1722" w:type="dxa"/>
            <w:tcBorders>
              <w:top w:val="single" w:sz="4" w:space="0" w:color="000000"/>
              <w:left w:val="single" w:sz="12" w:space="0" w:color="000000"/>
              <w:bottom w:val="single" w:sz="12" w:space="0" w:color="000000"/>
              <w:right w:val="single" w:sz="4" w:space="0" w:color="000000"/>
            </w:tcBorders>
          </w:tcPr>
          <w:p>
            <w:pPr>
              <w:pStyle w:val="TableParagraph"/>
              <w:widowControl w:val="false"/>
              <w:suppressAutoHyphens w:val="true"/>
              <w:spacing w:lineRule="atLeast" w:line="180" w:before="5" w:after="0"/>
              <w:ind w:left="611" w:right="68" w:hanging="503"/>
              <w:jc w:val="left"/>
              <w:rPr>
                <w:b/>
                <w:b/>
              </w:rPr>
            </w:pPr>
            <w:r>
              <w:rPr>
                <w:rFonts w:eastAsia="Calibri"/>
                <w:b/>
                <w:kern w:val="0"/>
                <w:sz w:val="22"/>
                <w:szCs w:val="22"/>
              </w:rPr>
              <w:t xml:space="preserve">         </w:t>
            </w:r>
            <w:r>
              <w:rPr>
                <w:rFonts w:eastAsia="Calibri"/>
                <w:b/>
                <w:kern w:val="0"/>
                <w:sz w:val="22"/>
                <w:szCs w:val="22"/>
              </w:rPr>
              <w:t>Tempistica massima prevista (in mesi)</w:t>
            </w:r>
          </w:p>
        </w:tc>
        <w:tc>
          <w:tcPr>
            <w:tcW w:w="1781" w:type="dxa"/>
            <w:tcBorders>
              <w:top w:val="single" w:sz="4" w:space="0" w:color="000000"/>
              <w:left w:val="single" w:sz="4" w:space="0" w:color="000000"/>
              <w:bottom w:val="single" w:sz="12" w:space="0" w:color="000000"/>
              <w:right w:val="single" w:sz="4" w:space="0" w:color="000000"/>
            </w:tcBorders>
          </w:tcPr>
          <w:p>
            <w:pPr>
              <w:pStyle w:val="TableParagraph"/>
              <w:widowControl w:val="false"/>
              <w:suppressAutoHyphens w:val="true"/>
              <w:spacing w:before="0" w:after="0"/>
              <w:jc w:val="center"/>
              <w:rPr>
                <w:shd w:fill="FFFF00" w:val="clear"/>
              </w:rPr>
            </w:pPr>
            <w:r>
              <w:rPr>
                <w:rFonts w:eastAsia="Calibri" w:cs="Calibri" w:cstheme="minorHAnsi"/>
                <w:kern w:val="0"/>
                <w:sz w:val="22"/>
                <w:szCs w:val="22"/>
                <w:shd w:fill="FFFF00" w:val="clear"/>
              </w:rPr>
              <w:t>1</w:t>
            </w:r>
          </w:p>
        </w:tc>
        <w:tc>
          <w:tcPr>
            <w:tcW w:w="1831" w:type="dxa"/>
            <w:tcBorders>
              <w:top w:val="single" w:sz="4" w:space="0" w:color="000000"/>
              <w:left w:val="single" w:sz="4" w:space="0" w:color="000000"/>
              <w:bottom w:val="single" w:sz="12" w:space="0" w:color="000000"/>
              <w:right w:val="single" w:sz="4" w:space="0" w:color="000000"/>
            </w:tcBorders>
          </w:tcPr>
          <w:p>
            <w:pPr>
              <w:pStyle w:val="TableParagraph"/>
              <w:widowControl w:val="false"/>
              <w:suppressAutoHyphens w:val="true"/>
              <w:spacing w:before="0" w:after="0"/>
              <w:jc w:val="center"/>
              <w:rPr>
                <w:shd w:fill="FFFF00" w:val="clear"/>
              </w:rPr>
            </w:pPr>
            <w:r>
              <w:rPr>
                <w:rFonts w:eastAsia="Calibri" w:cs="Calibri" w:cstheme="minorHAnsi"/>
                <w:kern w:val="0"/>
                <w:sz w:val="22"/>
                <w:szCs w:val="22"/>
                <w:shd w:fill="FFFF00" w:val="clear"/>
              </w:rPr>
              <w:t>8</w:t>
            </w:r>
          </w:p>
        </w:tc>
        <w:tc>
          <w:tcPr>
            <w:tcW w:w="1810" w:type="dxa"/>
            <w:tcBorders>
              <w:top w:val="single" w:sz="4" w:space="0" w:color="000000"/>
              <w:left w:val="single" w:sz="4" w:space="0" w:color="000000"/>
              <w:bottom w:val="single" w:sz="12" w:space="0" w:color="000000"/>
              <w:right w:val="single" w:sz="4" w:space="0" w:color="000000"/>
            </w:tcBorders>
          </w:tcPr>
          <w:p>
            <w:pPr>
              <w:pStyle w:val="TableParagraph"/>
              <w:widowControl w:val="false"/>
              <w:suppressAutoHyphens w:val="true"/>
              <w:spacing w:before="0" w:after="0"/>
              <w:jc w:val="center"/>
              <w:rPr>
                <w:shd w:fill="FFFF00" w:val="clear"/>
              </w:rPr>
            </w:pPr>
            <w:r>
              <w:rPr>
                <w:rFonts w:eastAsia="Calibri" w:cs="Calibri" w:cstheme="minorHAnsi"/>
                <w:kern w:val="0"/>
                <w:sz w:val="22"/>
                <w:szCs w:val="22"/>
                <w:shd w:fill="FFFF00" w:val="clear"/>
              </w:rPr>
              <w:t>1</w:t>
            </w:r>
          </w:p>
        </w:tc>
        <w:tc>
          <w:tcPr>
            <w:tcW w:w="1601" w:type="dxa"/>
            <w:tcBorders>
              <w:top w:val="single" w:sz="4" w:space="0" w:color="000000"/>
              <w:left w:val="single" w:sz="4" w:space="0" w:color="000000"/>
              <w:bottom w:val="single" w:sz="12" w:space="0" w:color="000000"/>
              <w:right w:val="single" w:sz="4" w:space="0" w:color="000000"/>
            </w:tcBorders>
          </w:tcPr>
          <w:p>
            <w:pPr>
              <w:pStyle w:val="TableParagraph"/>
              <w:widowControl w:val="false"/>
              <w:suppressAutoHyphens w:val="true"/>
              <w:spacing w:before="0" w:after="0"/>
              <w:jc w:val="center"/>
              <w:rPr>
                <w:rFonts w:eastAsia="Calibri"/>
                <w:shd w:fill="FFFF00" w:val="clear"/>
              </w:rPr>
            </w:pPr>
            <w:r>
              <w:rPr>
                <w:rFonts w:eastAsia="Calibri" w:cs="Calibri" w:cstheme="minorHAnsi"/>
                <w:kern w:val="0"/>
                <w:sz w:val="22"/>
                <w:szCs w:val="22"/>
                <w:shd w:fill="FFFF00" w:val="clear"/>
              </w:rPr>
              <w:t>2</w:t>
            </w:r>
          </w:p>
        </w:tc>
        <w:tc>
          <w:tcPr>
            <w:tcW w:w="787" w:type="dxa"/>
            <w:tcBorders>
              <w:top w:val="single" w:sz="4" w:space="0" w:color="000000"/>
              <w:left w:val="single" w:sz="4" w:space="0" w:color="000000"/>
              <w:bottom w:val="single" w:sz="12" w:space="0" w:color="000000"/>
              <w:right w:val="single" w:sz="12" w:space="0" w:color="000000"/>
            </w:tcBorders>
          </w:tcPr>
          <w:p>
            <w:pPr>
              <w:pStyle w:val="TableParagraph"/>
              <w:widowControl w:val="false"/>
              <w:suppressAutoHyphens w:val="true"/>
              <w:spacing w:before="0" w:after="0"/>
              <w:jc w:val="center"/>
              <w:rPr>
                <w:rFonts w:eastAsia="Calibri"/>
                <w:shd w:fill="FFFF00" w:val="clear"/>
              </w:rPr>
            </w:pPr>
            <w:r>
              <w:rPr>
                <w:rFonts w:eastAsia="Calibri" w:cs="Calibri" w:cstheme="minorHAnsi"/>
                <w:kern w:val="0"/>
                <w:sz w:val="22"/>
                <w:szCs w:val="22"/>
                <w:shd w:fill="FFFF00" w:val="clear"/>
              </w:rPr>
              <w:t>12</w:t>
            </w:r>
          </w:p>
        </w:tc>
      </w:tr>
    </w:tbl>
    <w:p>
      <w:pPr>
        <w:pStyle w:val="Corpodeltesto"/>
        <w:rPr>
          <w:b/>
          <w:b/>
          <w:sz w:val="22"/>
          <w:szCs w:val="22"/>
        </w:rPr>
      </w:pPr>
      <w:r>
        <w:rPr>
          <w:b/>
          <w:sz w:val="22"/>
          <w:szCs w:val="22"/>
        </w:rPr>
      </w:r>
    </w:p>
    <w:p>
      <w:pPr>
        <w:pStyle w:val="Normal"/>
        <w:widowControl/>
        <w:rPr>
          <w:b/>
          <w:b/>
        </w:rPr>
      </w:pPr>
      <w:r>
        <w:rPr>
          <w:b/>
        </w:rPr>
      </w:r>
      <w:r>
        <w:br w:type="page"/>
      </w:r>
    </w:p>
    <w:p>
      <w:pPr>
        <w:pStyle w:val="Corpodeltesto"/>
        <w:rPr>
          <w:b/>
          <w:b/>
          <w:sz w:val="22"/>
          <w:szCs w:val="22"/>
        </w:rPr>
      </w:pPr>
      <w:r>
        <w:rPr>
          <w:b/>
          <w:sz w:val="22"/>
          <w:szCs w:val="22"/>
        </w:rPr>
        <mc:AlternateContent>
          <mc:Choice Requires="wps">
            <w:drawing>
              <wp:anchor behindDoc="0" distT="0" distB="0" distL="0" distR="0" simplePos="0" locked="0" layoutInCell="0" allowOverlap="1" relativeHeight="18">
                <wp:simplePos x="0" y="0"/>
                <wp:positionH relativeFrom="page">
                  <wp:posOffset>647700</wp:posOffset>
                </wp:positionH>
                <wp:positionV relativeFrom="paragraph">
                  <wp:posOffset>254000</wp:posOffset>
                </wp:positionV>
                <wp:extent cx="6271260" cy="406400"/>
                <wp:effectExtent l="0" t="3175" r="0" b="3175"/>
                <wp:wrapSquare wrapText="bothSides"/>
                <wp:docPr id="17" name="Text Box 210"/>
                <a:graphic xmlns:a="http://schemas.openxmlformats.org/drawingml/2006/main">
                  <a:graphicData uri="http://schemas.microsoft.com/office/word/2010/wordprocessingShape">
                    <wps:wsp>
                      <wps:cNvSpPr/>
                      <wps:spPr>
                        <a:xfrm>
                          <a:off x="0" y="0"/>
                          <a:ext cx="6271200" cy="406440"/>
                        </a:xfrm>
                        <a:prstGeom prst="rect">
                          <a:avLst/>
                        </a:prstGeom>
                        <a:solidFill>
                          <a:srgbClr val="f1f1f1"/>
                        </a:solidFill>
                        <a:ln w="6480">
                          <a:solidFill>
                            <a:srgbClr val="808080"/>
                          </a:solidFill>
                          <a:miter/>
                        </a:ln>
                      </wps:spPr>
                      <wps:style>
                        <a:lnRef idx="0"/>
                        <a:fillRef idx="0"/>
                        <a:effectRef idx="0"/>
                        <a:fontRef idx="minor"/>
                      </wps:style>
                      <wps:txbx>
                        <w:txbxContent>
                          <w:p>
                            <w:pPr>
                              <w:pStyle w:val="Contenutocornice"/>
                              <w:spacing w:lineRule="auto" w:line="259" w:before="16" w:after="0"/>
                              <w:ind w:left="4037" w:right="4021" w:firstLine="400"/>
                              <w:rPr>
                                <w:rFonts w:ascii="Calibri Light" w:hAnsi="Calibri Light"/>
                              </w:rPr>
                            </w:pPr>
                            <w:r>
                              <w:rPr>
                                <w:rFonts w:ascii="Calibri Light" w:hAnsi="Calibri Light"/>
                                <w:color w:val="1F4D78"/>
                              </w:rPr>
                              <w:t>SEZIONE IV PIANO FINANZIARIO</w:t>
                            </w:r>
                          </w:p>
                          <w:p>
                            <w:pPr>
                              <w:pStyle w:val="Contenutocornice"/>
                              <w:rPr>
                                <w:color w:val="000000"/>
                              </w:rPr>
                            </w:pPr>
                            <w:r>
                              <w:rPr>
                                <w:color w:val="000000"/>
                              </w:rPr>
                            </w:r>
                          </w:p>
                        </w:txbxContent>
                      </wps:txbx>
                      <wps:bodyPr lIns="0" rIns="0" tIns="0" bIns="0" anchor="t" upright="1">
                        <a:noAutofit/>
                      </wps:bodyPr>
                    </wps:wsp>
                  </a:graphicData>
                </a:graphic>
              </wp:anchor>
            </w:drawing>
          </mc:Choice>
          <mc:Fallback>
            <w:pict>
              <v:rect id="shape_0" ID="Text Box 210" path="m0,0l-2147483645,0l-2147483645,-2147483646l0,-2147483646xe" fillcolor="#f1f1f1" stroked="t" o:allowincell="f" style="position:absolute;margin-left:51pt;margin-top:20pt;width:493.75pt;height:31.95pt;mso-wrap-style:square;v-text-anchor:top;mso-position-horizontal-relative:page">
                <v:fill o:detectmouseclick="t" type="solid" color2="#0e0e0e"/>
                <v:stroke color="gray" weight="6480" joinstyle="miter" endcap="flat"/>
                <v:textbox>
                  <w:txbxContent>
                    <w:p>
                      <w:pPr>
                        <w:pStyle w:val="Contenutocornice"/>
                        <w:spacing w:lineRule="auto" w:line="259" w:before="16" w:after="0"/>
                        <w:ind w:left="4037" w:right="4021" w:firstLine="400"/>
                        <w:rPr>
                          <w:rFonts w:ascii="Calibri Light" w:hAnsi="Calibri Light"/>
                        </w:rPr>
                      </w:pPr>
                      <w:r>
                        <w:rPr>
                          <w:rFonts w:ascii="Calibri Light" w:hAnsi="Calibri Light"/>
                          <w:color w:val="1F4D78"/>
                        </w:rPr>
                        <w:t>SEZIONE IV PIANO FINANZIARIO</w:t>
                      </w:r>
                    </w:p>
                    <w:p>
                      <w:pPr>
                        <w:pStyle w:val="Contenutocornice"/>
                        <w:rPr>
                          <w:color w:val="000000"/>
                        </w:rPr>
                      </w:pPr>
                      <w:r>
                        <w:rPr>
                          <w:color w:val="000000"/>
                        </w:rPr>
                      </w:r>
                    </w:p>
                  </w:txbxContent>
                </v:textbox>
                <w10:wrap type="square"/>
              </v:rect>
            </w:pict>
          </mc:Fallback>
        </mc:AlternateContent>
      </w:r>
    </w:p>
    <w:p>
      <w:pPr>
        <w:pStyle w:val="Corpodeltesto"/>
        <w:spacing w:before="8" w:after="0"/>
        <w:rPr>
          <w:b/>
          <w:b/>
          <w:sz w:val="22"/>
          <w:szCs w:val="22"/>
        </w:rPr>
      </w:pPr>
      <w:r>
        <w:rPr>
          <w:b/>
          <w:sz w:val="22"/>
          <w:szCs w:val="22"/>
        </w:rPr>
      </w:r>
    </w:p>
    <w:p>
      <w:pPr>
        <w:pStyle w:val="ListParagraph"/>
        <w:numPr>
          <w:ilvl w:val="0"/>
          <w:numId w:val="3"/>
        </w:numPr>
        <w:tabs>
          <w:tab w:val="clear" w:pos="720"/>
          <w:tab w:val="left" w:pos="594" w:leader="none"/>
        </w:tabs>
        <w:spacing w:before="0" w:after="23"/>
        <w:ind w:left="593" w:hanging="362"/>
        <w:rPr>
          <w:i/>
          <w:i/>
        </w:rPr>
      </w:pPr>
      <w:r>
        <w:rPr>
          <w:i/>
          <w:color w:val="1F4D78"/>
        </w:rPr>
        <w:t xml:space="preserve">Fonti finanziariedell’Operazione </w:t>
      </w:r>
    </w:p>
    <w:tbl>
      <w:tblPr>
        <w:tblStyle w:val="TableNormal"/>
        <w:tblW w:w="9518" w:type="dxa"/>
        <w:jc w:val="left"/>
        <w:tblInd w:w="257" w:type="dxa"/>
        <w:tblLayout w:type="fixed"/>
        <w:tblCellMar>
          <w:top w:w="0" w:type="dxa"/>
          <w:left w:w="5" w:type="dxa"/>
          <w:bottom w:w="0" w:type="dxa"/>
          <w:right w:w="5" w:type="dxa"/>
        </w:tblCellMar>
        <w:tblLook w:firstRow="1" w:noVBand="0" w:lastRow="1" w:firstColumn="1" w:lastColumn="1" w:noHBand="0" w:val="01e0"/>
      </w:tblPr>
      <w:tblGrid>
        <w:gridCol w:w="2606"/>
        <w:gridCol w:w="4917"/>
        <w:gridCol w:w="1995"/>
      </w:tblGrid>
      <w:tr>
        <w:trPr>
          <w:trHeight w:val="531" w:hRule="atLeast"/>
        </w:trPr>
        <w:tc>
          <w:tcPr>
            <w:tcW w:w="2606" w:type="dxa"/>
            <w:vMerge w:val="restart"/>
            <w:tcBorders>
              <w:top w:val="single" w:sz="12" w:space="0" w:color="000000"/>
              <w:left w:val="single" w:sz="4" w:space="0" w:color="000000"/>
              <w:bottom w:val="single" w:sz="12" w:space="0" w:color="000000"/>
              <w:right w:val="single" w:sz="4" w:space="0" w:color="000000"/>
            </w:tcBorders>
          </w:tcPr>
          <w:p>
            <w:pPr>
              <w:pStyle w:val="TableParagraph"/>
              <w:widowControl w:val="false"/>
              <w:suppressAutoHyphens w:val="true"/>
              <w:spacing w:before="0" w:after="0"/>
              <w:jc w:val="left"/>
              <w:rPr>
                <w:i/>
                <w:i/>
              </w:rPr>
            </w:pPr>
            <w:r>
              <w:rPr>
                <w:rFonts w:eastAsia="Calibri"/>
                <w:i/>
                <w:kern w:val="0"/>
                <w:sz w:val="22"/>
                <w:szCs w:val="22"/>
              </w:rPr>
            </w:r>
          </w:p>
          <w:p>
            <w:pPr>
              <w:pStyle w:val="TableParagraph"/>
              <w:widowControl w:val="false"/>
              <w:suppressAutoHyphens w:val="true"/>
              <w:spacing w:before="0" w:after="0"/>
              <w:jc w:val="left"/>
              <w:rPr>
                <w:i/>
                <w:i/>
              </w:rPr>
            </w:pPr>
            <w:r>
              <w:rPr>
                <w:rFonts w:eastAsia="Calibri"/>
                <w:i/>
                <w:kern w:val="0"/>
                <w:sz w:val="22"/>
                <w:szCs w:val="22"/>
              </w:rPr>
            </w:r>
          </w:p>
          <w:p>
            <w:pPr>
              <w:pStyle w:val="TableParagraph"/>
              <w:widowControl w:val="false"/>
              <w:suppressAutoHyphens w:val="true"/>
              <w:spacing w:before="0" w:after="0"/>
              <w:jc w:val="left"/>
              <w:rPr>
                <w:i/>
                <w:i/>
              </w:rPr>
            </w:pPr>
            <w:r>
              <w:rPr>
                <w:rFonts w:eastAsia="Calibri"/>
                <w:i/>
                <w:kern w:val="0"/>
                <w:sz w:val="22"/>
                <w:szCs w:val="22"/>
              </w:rPr>
            </w:r>
          </w:p>
          <w:p>
            <w:pPr>
              <w:pStyle w:val="TableParagraph"/>
              <w:widowControl w:val="false"/>
              <w:suppressAutoHyphens w:val="true"/>
              <w:spacing w:before="0" w:after="0"/>
              <w:jc w:val="left"/>
              <w:rPr>
                <w:i/>
                <w:i/>
              </w:rPr>
            </w:pPr>
            <w:r>
              <w:rPr>
                <w:rFonts w:eastAsia="Calibri"/>
                <w:i/>
                <w:kern w:val="0"/>
                <w:sz w:val="22"/>
                <w:szCs w:val="22"/>
              </w:rPr>
            </w:r>
          </w:p>
          <w:p>
            <w:pPr>
              <w:pStyle w:val="TableParagraph"/>
              <w:widowControl w:val="false"/>
              <w:suppressAutoHyphens w:val="true"/>
              <w:spacing w:before="7" w:after="0"/>
              <w:jc w:val="left"/>
              <w:rPr>
                <w:i/>
                <w:i/>
              </w:rPr>
            </w:pPr>
            <w:r>
              <w:rPr>
                <w:rFonts w:eastAsia="Calibri"/>
                <w:i/>
                <w:kern w:val="0"/>
                <w:sz w:val="22"/>
                <w:szCs w:val="22"/>
              </w:rPr>
            </w:r>
          </w:p>
          <w:p>
            <w:pPr>
              <w:pStyle w:val="TableParagraph"/>
              <w:widowControl w:val="false"/>
              <w:suppressAutoHyphens w:val="true"/>
              <w:spacing w:before="0" w:after="0"/>
              <w:ind w:left="110" w:hanging="0"/>
              <w:jc w:val="left"/>
              <w:rPr>
                <w:b/>
                <w:b/>
              </w:rPr>
            </w:pPr>
            <w:r>
              <w:rPr>
                <w:rFonts w:eastAsia="Calibri"/>
                <w:b/>
                <w:kern w:val="0"/>
                <w:sz w:val="22"/>
                <w:szCs w:val="22"/>
              </w:rPr>
              <w:t>Quadro finanziario dell’Operazione</w:t>
            </w:r>
          </w:p>
        </w:tc>
        <w:tc>
          <w:tcPr>
            <w:tcW w:w="4917" w:type="dxa"/>
            <w:tcBorders>
              <w:top w:val="single" w:sz="12" w:space="0" w:color="000000"/>
              <w:left w:val="single" w:sz="4" w:space="0" w:color="000000"/>
              <w:bottom w:val="single" w:sz="4" w:space="0" w:color="000000"/>
              <w:right w:val="single" w:sz="4" w:space="0" w:color="000000"/>
            </w:tcBorders>
          </w:tcPr>
          <w:p>
            <w:pPr>
              <w:pStyle w:val="TableParagraph"/>
              <w:widowControl w:val="false"/>
              <w:tabs>
                <w:tab w:val="clear" w:pos="720"/>
                <w:tab w:val="left" w:pos="2682" w:leader="dot"/>
              </w:tabs>
              <w:suppressAutoHyphens w:val="true"/>
              <w:spacing w:lineRule="exact" w:line="280" w:before="120" w:after="120"/>
              <w:ind w:left="108" w:hanging="0"/>
              <w:jc w:val="left"/>
              <w:rPr>
                <w:rFonts w:ascii="Calibri" w:hAnsi="Calibri" w:eastAsia="Calibri"/>
              </w:rPr>
            </w:pPr>
            <w:r>
              <w:rPr>
                <w:rFonts w:eastAsia="Calibri"/>
                <w:kern w:val="0"/>
                <w:sz w:val="22"/>
                <w:szCs w:val="22"/>
              </w:rPr>
              <w:t>Finanziamento richiesto a valere sull’azione 2.2.1 del POR FESR Sicilia2014/2020</w:t>
            </w:r>
          </w:p>
        </w:tc>
        <w:tc>
          <w:tcPr>
            <w:tcW w:w="1995" w:type="dxa"/>
            <w:tcBorders>
              <w:top w:val="single" w:sz="12" w:space="0" w:color="000000"/>
              <w:left w:val="single" w:sz="4" w:space="0" w:color="000000"/>
              <w:bottom w:val="single" w:sz="4" w:space="0" w:color="000000"/>
              <w:right w:val="single" w:sz="12" w:space="0" w:color="000000"/>
            </w:tcBorders>
          </w:tcPr>
          <w:p>
            <w:pPr>
              <w:pStyle w:val="Normal"/>
              <w:widowControl w:val="false"/>
              <w:suppressAutoHyphens w:val="true"/>
              <w:spacing w:before="0" w:after="0"/>
              <w:jc w:val="left"/>
              <w:rPr>
                <w:rFonts w:ascii="Calibri" w:hAnsi="Calibri"/>
                <w:b/>
                <w:b/>
                <w:color w:val="000000"/>
                <w:lang w:bidi="ar-SA"/>
              </w:rPr>
            </w:pPr>
            <w:r>
              <w:rPr>
                <w:rFonts w:eastAsia="Calibri"/>
                <w:b/>
                <w:color w:val="000000"/>
                <w:kern w:val="0"/>
                <w:sz w:val="22"/>
                <w:szCs w:val="22"/>
              </w:rPr>
              <w:t xml:space="preserve">€ </w:t>
            </w:r>
            <w:r>
              <w:rPr>
                <w:rFonts w:eastAsia="Calibri"/>
                <w:b/>
                <w:color w:val="000000"/>
                <w:kern w:val="0"/>
                <w:sz w:val="22"/>
                <w:szCs w:val="22"/>
              </w:rPr>
              <w:t>10.000,00</w:t>
            </w:r>
          </w:p>
          <w:p>
            <w:pPr>
              <w:pStyle w:val="TableParagraph"/>
              <w:widowControl w:val="false"/>
              <w:suppressAutoHyphens w:val="true"/>
              <w:spacing w:before="0" w:after="0"/>
              <w:ind w:left="107" w:hanging="0"/>
              <w:jc w:val="left"/>
              <w:rPr>
                <w:b/>
                <w:b/>
              </w:rPr>
            </w:pPr>
            <w:r>
              <w:rPr>
                <w:rFonts w:eastAsia="Calibri"/>
                <w:b/>
                <w:kern w:val="0"/>
                <w:sz w:val="22"/>
                <w:szCs w:val="22"/>
              </w:rPr>
            </w:r>
          </w:p>
        </w:tc>
      </w:tr>
      <w:tr>
        <w:trPr>
          <w:trHeight w:val="289" w:hRule="atLeast"/>
        </w:trPr>
        <w:tc>
          <w:tcPr>
            <w:tcW w:w="2606" w:type="dxa"/>
            <w:vMerge w:val="continue"/>
            <w:tcBorders>
              <w:left w:val="single" w:sz="4" w:space="0" w:color="000000"/>
              <w:bottom w:val="single" w:sz="12" w:space="0" w:color="000000"/>
              <w:right w:val="single" w:sz="4" w:space="0" w:color="000000"/>
            </w:tcBorders>
          </w:tcPr>
          <w:p>
            <w:pPr>
              <w:pStyle w:val="Normal"/>
              <w:widowControl w:val="false"/>
              <w:suppressAutoHyphens w:val="true"/>
              <w:spacing w:before="0" w:after="0"/>
              <w:jc w:val="left"/>
              <w:rPr>
                <w:rFonts w:ascii="Calibri" w:hAnsi="Calibri" w:eastAsia="Calibri"/>
              </w:rPr>
            </w:pPr>
            <w:r>
              <w:rPr>
                <w:rFonts w:eastAsia="Calibri"/>
                <w:kern w:val="0"/>
                <w:sz w:val="22"/>
                <w:szCs w:val="22"/>
              </w:rPr>
            </w:r>
          </w:p>
        </w:tc>
        <w:tc>
          <w:tcPr>
            <w:tcW w:w="491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4353" w:leader="none"/>
              </w:tabs>
              <w:suppressAutoHyphens w:val="true"/>
              <w:spacing w:lineRule="exact" w:line="280" w:before="0" w:after="0"/>
              <w:ind w:left="108" w:hanging="0"/>
              <w:jc w:val="left"/>
              <w:rPr>
                <w:rFonts w:ascii="Calibri" w:hAnsi="Calibri" w:eastAsia="Calibri"/>
              </w:rPr>
            </w:pPr>
            <w:r>
              <w:rPr>
                <w:rFonts w:eastAsia="Calibri"/>
                <w:kern w:val="0"/>
                <w:sz w:val="22"/>
                <w:szCs w:val="22"/>
              </w:rPr>
              <w:t>Eventuale cofinanziamento pubblico a valere su risorse di cui al</w:t>
            </w:r>
            <w:r>
              <w:rPr>
                <w:rFonts w:eastAsia="Calibri"/>
                <w:kern w:val="0"/>
                <w:sz w:val="22"/>
                <w:szCs w:val="22"/>
                <w:u w:val="single"/>
              </w:rPr>
              <w:t xml:space="preserve"> _________________ </w:t>
            </w:r>
            <w:r>
              <w:rPr>
                <w:rFonts w:eastAsia="Calibri"/>
                <w:kern w:val="0"/>
                <w:sz w:val="22"/>
                <w:szCs w:val="22"/>
              </w:rPr>
              <w:t>(indicare il canale finanziario in caso di cofinanziamento pubblico)</w:t>
            </w:r>
          </w:p>
        </w:tc>
        <w:tc>
          <w:tcPr>
            <w:tcW w:w="1995" w:type="dxa"/>
            <w:tcBorders>
              <w:top w:val="single" w:sz="4" w:space="0" w:color="000000"/>
              <w:left w:val="single" w:sz="4" w:space="0" w:color="000000"/>
              <w:bottom w:val="single" w:sz="4" w:space="0" w:color="000000"/>
              <w:right w:val="single" w:sz="12" w:space="0" w:color="000000"/>
            </w:tcBorders>
          </w:tcPr>
          <w:p>
            <w:pPr>
              <w:pStyle w:val="TableParagraph"/>
              <w:widowControl w:val="false"/>
              <w:suppressAutoHyphens w:val="true"/>
              <w:spacing w:before="72" w:after="0"/>
              <w:ind w:left="107" w:hanging="0"/>
              <w:jc w:val="left"/>
              <w:rPr>
                <w:b/>
                <w:b/>
              </w:rPr>
            </w:pPr>
            <w:r>
              <w:rPr>
                <w:rFonts w:eastAsia="Calibri"/>
                <w:b/>
                <w:kern w:val="0"/>
                <w:sz w:val="22"/>
                <w:szCs w:val="22"/>
              </w:rPr>
              <w:t>€</w:t>
            </w:r>
          </w:p>
        </w:tc>
      </w:tr>
      <w:tr>
        <w:trPr>
          <w:trHeight w:val="418" w:hRule="atLeast"/>
        </w:trPr>
        <w:tc>
          <w:tcPr>
            <w:tcW w:w="2606" w:type="dxa"/>
            <w:vMerge w:val="continue"/>
            <w:tcBorders>
              <w:left w:val="single" w:sz="4" w:space="0" w:color="000000"/>
              <w:bottom w:val="single" w:sz="12" w:space="0" w:color="000000"/>
              <w:right w:val="single" w:sz="4" w:space="0" w:color="000000"/>
            </w:tcBorders>
          </w:tcPr>
          <w:p>
            <w:pPr>
              <w:pStyle w:val="Normal"/>
              <w:widowControl w:val="false"/>
              <w:suppressAutoHyphens w:val="true"/>
              <w:spacing w:before="0" w:after="0"/>
              <w:jc w:val="left"/>
              <w:rPr>
                <w:rFonts w:ascii="Calibri" w:hAnsi="Calibri" w:eastAsia="Calibri"/>
              </w:rPr>
            </w:pPr>
            <w:r>
              <w:rPr>
                <w:rFonts w:eastAsia="Calibri"/>
                <w:kern w:val="0"/>
                <w:sz w:val="22"/>
                <w:szCs w:val="22"/>
              </w:rPr>
            </w:r>
          </w:p>
        </w:tc>
        <w:tc>
          <w:tcPr>
            <w:tcW w:w="49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80" w:before="0" w:after="0"/>
              <w:ind w:left="108" w:hanging="0"/>
              <w:jc w:val="left"/>
              <w:rPr>
                <w:rFonts w:ascii="Calibri" w:hAnsi="Calibri" w:eastAsia="Calibri"/>
              </w:rPr>
            </w:pPr>
            <w:r>
              <w:rPr>
                <w:rFonts w:eastAsia="Calibri"/>
                <w:kern w:val="0"/>
                <w:sz w:val="22"/>
                <w:szCs w:val="22"/>
              </w:rPr>
              <w:t>Eventuale cofinanziamento privato (specificare gli elementi sui quali interviene il soggetto privato e le modalità di selezione del soggetto mediante la predisposizione di un allegato alla presente scheda)</w:t>
            </w:r>
          </w:p>
        </w:tc>
        <w:tc>
          <w:tcPr>
            <w:tcW w:w="1995" w:type="dxa"/>
            <w:tcBorders>
              <w:top w:val="single" w:sz="4" w:space="0" w:color="000000"/>
              <w:left w:val="single" w:sz="4" w:space="0" w:color="000000"/>
              <w:bottom w:val="single" w:sz="4" w:space="0" w:color="000000"/>
              <w:right w:val="single" w:sz="12" w:space="0" w:color="000000"/>
            </w:tcBorders>
          </w:tcPr>
          <w:p>
            <w:pPr>
              <w:pStyle w:val="TableParagraph"/>
              <w:widowControl w:val="false"/>
              <w:suppressAutoHyphens w:val="true"/>
              <w:spacing w:before="1" w:after="0"/>
              <w:ind w:left="107" w:hanging="0"/>
              <w:jc w:val="left"/>
              <w:rPr>
                <w:b/>
                <w:b/>
              </w:rPr>
            </w:pPr>
            <w:r>
              <w:rPr>
                <w:rFonts w:eastAsia="Calibri"/>
                <w:b/>
                <w:kern w:val="0"/>
                <w:sz w:val="22"/>
                <w:szCs w:val="22"/>
              </w:rPr>
              <w:t>€</w:t>
            </w:r>
          </w:p>
        </w:tc>
      </w:tr>
      <w:tr>
        <w:trPr>
          <w:trHeight w:val="285" w:hRule="atLeast"/>
        </w:trPr>
        <w:tc>
          <w:tcPr>
            <w:tcW w:w="2606" w:type="dxa"/>
            <w:vMerge w:val="continue"/>
            <w:tcBorders>
              <w:left w:val="single" w:sz="4" w:space="0" w:color="000000"/>
              <w:bottom w:val="single" w:sz="12" w:space="0" w:color="000000"/>
              <w:right w:val="single" w:sz="4" w:space="0" w:color="000000"/>
            </w:tcBorders>
          </w:tcPr>
          <w:p>
            <w:pPr>
              <w:pStyle w:val="Normal"/>
              <w:widowControl w:val="false"/>
              <w:suppressAutoHyphens w:val="true"/>
              <w:spacing w:before="0" w:after="0"/>
              <w:jc w:val="left"/>
              <w:rPr>
                <w:rFonts w:ascii="Calibri" w:hAnsi="Calibri" w:eastAsia="Calibri"/>
              </w:rPr>
            </w:pPr>
            <w:r>
              <w:rPr>
                <w:rFonts w:eastAsia="Calibri"/>
                <w:kern w:val="0"/>
                <w:sz w:val="22"/>
                <w:szCs w:val="22"/>
              </w:rPr>
            </w:r>
          </w:p>
        </w:tc>
        <w:tc>
          <w:tcPr>
            <w:tcW w:w="4917" w:type="dxa"/>
            <w:tcBorders>
              <w:top w:val="single" w:sz="4" w:space="0" w:color="000000"/>
              <w:left w:val="single" w:sz="4" w:space="0" w:color="000000"/>
              <w:bottom w:val="single" w:sz="12" w:space="0" w:color="000000"/>
              <w:right w:val="single" w:sz="4" w:space="0" w:color="000000"/>
            </w:tcBorders>
          </w:tcPr>
          <w:p>
            <w:pPr>
              <w:pStyle w:val="TableParagraph"/>
              <w:widowControl w:val="false"/>
              <w:suppressAutoHyphens w:val="true"/>
              <w:spacing w:lineRule="exact" w:line="280" w:before="120" w:after="120"/>
              <w:ind w:left="108" w:hanging="0"/>
              <w:jc w:val="left"/>
              <w:rPr>
                <w:rFonts w:ascii="Calibri" w:hAnsi="Calibri" w:eastAsia="Calibri"/>
              </w:rPr>
            </w:pPr>
            <w:r>
              <w:rPr>
                <w:rFonts w:eastAsia="Calibri"/>
                <w:kern w:val="0"/>
                <w:sz w:val="22"/>
                <w:szCs w:val="22"/>
              </w:rPr>
              <w:t>Importo totale intervento</w:t>
            </w:r>
          </w:p>
        </w:tc>
        <w:tc>
          <w:tcPr>
            <w:tcW w:w="1995" w:type="dxa"/>
            <w:tcBorders>
              <w:top w:val="single" w:sz="4" w:space="0" w:color="000000"/>
              <w:left w:val="single" w:sz="4" w:space="0" w:color="000000"/>
              <w:bottom w:val="single" w:sz="12" w:space="0" w:color="000000"/>
              <w:right w:val="single" w:sz="12" w:space="0" w:color="000000"/>
            </w:tcBorders>
          </w:tcPr>
          <w:p>
            <w:pPr>
              <w:pStyle w:val="Normal"/>
              <w:widowControl w:val="false"/>
              <w:suppressAutoHyphens w:val="true"/>
              <w:spacing w:before="0" w:after="0"/>
              <w:jc w:val="left"/>
              <w:rPr>
                <w:rFonts w:ascii="Calibri" w:hAnsi="Calibri"/>
                <w:b/>
                <w:b/>
                <w:color w:val="000000"/>
                <w:lang w:bidi="ar-SA"/>
              </w:rPr>
            </w:pPr>
            <w:r>
              <w:rPr>
                <w:rFonts w:eastAsia="Calibri"/>
                <w:b/>
                <w:color w:val="000000"/>
                <w:kern w:val="0"/>
                <w:sz w:val="22"/>
                <w:szCs w:val="22"/>
              </w:rPr>
              <w:t xml:space="preserve">€ </w:t>
            </w:r>
            <w:r>
              <w:rPr>
                <w:rFonts w:eastAsia="Calibri"/>
                <w:b/>
                <w:color w:val="000000"/>
                <w:kern w:val="0"/>
                <w:sz w:val="22"/>
                <w:szCs w:val="22"/>
              </w:rPr>
              <w:t>10.000,00</w:t>
            </w:r>
          </w:p>
          <w:p>
            <w:pPr>
              <w:pStyle w:val="TableParagraph"/>
              <w:widowControl w:val="false"/>
              <w:suppressAutoHyphens w:val="true"/>
              <w:spacing w:before="58" w:after="0"/>
              <w:ind w:left="107" w:hanging="0"/>
              <w:jc w:val="left"/>
              <w:rPr>
                <w:b/>
                <w:b/>
              </w:rPr>
            </w:pPr>
            <w:r>
              <w:rPr>
                <w:rFonts w:eastAsia="Calibri"/>
                <w:b/>
                <w:kern w:val="0"/>
                <w:sz w:val="22"/>
                <w:szCs w:val="22"/>
              </w:rPr>
            </w:r>
          </w:p>
        </w:tc>
      </w:tr>
    </w:tbl>
    <w:p>
      <w:pPr>
        <w:pStyle w:val="Corpodeltesto"/>
        <w:rPr>
          <w:i/>
          <w:i/>
          <w:sz w:val="22"/>
          <w:szCs w:val="22"/>
        </w:rPr>
      </w:pPr>
      <w:r>
        <w:rPr>
          <w:i/>
          <w:sz w:val="22"/>
          <w:szCs w:val="22"/>
        </w:rPr>
      </w:r>
    </w:p>
    <w:p>
      <w:pPr>
        <w:pStyle w:val="ListParagraph"/>
        <w:numPr>
          <w:ilvl w:val="0"/>
          <w:numId w:val="3"/>
        </w:numPr>
        <w:tabs>
          <w:tab w:val="clear" w:pos="720"/>
          <w:tab w:val="left" w:pos="594" w:leader="none"/>
        </w:tabs>
        <w:spacing w:before="177" w:after="25"/>
        <w:ind w:left="593" w:hanging="362"/>
        <w:rPr>
          <w:i/>
          <w:i/>
        </w:rPr>
      </w:pPr>
      <w:r>
        <w:rPr>
          <w:i/>
          <w:color w:val="1F4D78"/>
        </w:rPr>
        <w:t xml:space="preserve">Profilo pluriennale di impegni e pagamentidell’Operazione </w:t>
      </w:r>
    </w:p>
    <w:tbl>
      <w:tblPr>
        <w:tblStyle w:val="TableNormal"/>
        <w:tblW w:w="9854" w:type="dxa"/>
        <w:jc w:val="left"/>
        <w:tblInd w:w="154" w:type="dxa"/>
        <w:tblLayout w:type="fixed"/>
        <w:tblCellMar>
          <w:top w:w="0" w:type="dxa"/>
          <w:left w:w="10" w:type="dxa"/>
          <w:bottom w:w="0" w:type="dxa"/>
          <w:right w:w="10" w:type="dxa"/>
        </w:tblCellMar>
        <w:tblLook w:firstRow="1" w:noVBand="0" w:lastRow="1" w:firstColumn="1" w:lastColumn="1" w:noHBand="0" w:val="01e0"/>
      </w:tblPr>
      <w:tblGrid>
        <w:gridCol w:w="1860"/>
        <w:gridCol w:w="4253"/>
        <w:gridCol w:w="3741"/>
      </w:tblGrid>
      <w:tr>
        <w:trPr>
          <w:trHeight w:val="282" w:hRule="atLeast"/>
        </w:trPr>
        <w:tc>
          <w:tcPr>
            <w:tcW w:w="1860"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lineRule="exact" w:line="259" w:before="4" w:after="0"/>
              <w:ind w:left="686" w:hanging="0"/>
              <w:jc w:val="left"/>
              <w:rPr>
                <w:b/>
                <w:b/>
              </w:rPr>
            </w:pPr>
            <w:r>
              <w:rPr>
                <w:rFonts w:eastAsia="Calibri"/>
                <w:b/>
                <w:kern w:val="0"/>
                <w:sz w:val="22"/>
                <w:szCs w:val="22"/>
              </w:rPr>
              <w:t>Anno</w:t>
            </w:r>
          </w:p>
        </w:tc>
        <w:tc>
          <w:tcPr>
            <w:tcW w:w="4253"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lineRule="exact" w:line="259" w:before="4" w:after="0"/>
              <w:ind w:left="1325" w:hanging="0"/>
              <w:jc w:val="left"/>
              <w:rPr>
                <w:b/>
                <w:b/>
              </w:rPr>
            </w:pPr>
            <w:r>
              <w:rPr>
                <w:rFonts w:eastAsia="Calibri"/>
                <w:b/>
                <w:kern w:val="0"/>
                <w:sz w:val="22"/>
                <w:szCs w:val="22"/>
              </w:rPr>
              <w:t>Impegno Previsto</w:t>
            </w:r>
          </w:p>
        </w:tc>
        <w:tc>
          <w:tcPr>
            <w:tcW w:w="3741"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lineRule="exact" w:line="259" w:before="4" w:after="0"/>
              <w:ind w:left="953" w:hanging="0"/>
              <w:jc w:val="left"/>
              <w:rPr>
                <w:b/>
                <w:b/>
              </w:rPr>
            </w:pPr>
            <w:r>
              <w:rPr>
                <w:rFonts w:eastAsia="Calibri"/>
                <w:b/>
                <w:kern w:val="0"/>
                <w:sz w:val="22"/>
                <w:szCs w:val="22"/>
              </w:rPr>
              <w:t>Pagamento Previsto</w:t>
            </w:r>
          </w:p>
        </w:tc>
      </w:tr>
      <w:tr>
        <w:trPr>
          <w:trHeight w:val="282"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2" w:before="0" w:after="0"/>
              <w:ind w:left="705" w:hanging="0"/>
              <w:jc w:val="left"/>
              <w:rPr>
                <w:rFonts w:ascii="Calibri" w:hAnsi="Calibri" w:eastAsia="Calibri"/>
              </w:rPr>
            </w:pPr>
            <w:r>
              <w:rPr>
                <w:rFonts w:eastAsia="Calibri"/>
                <w:kern w:val="0"/>
                <w:sz w:val="22"/>
                <w:szCs w:val="22"/>
              </w:rPr>
              <w:t>2016</w:t>
            </w:r>
          </w:p>
        </w:tc>
        <w:tc>
          <w:tcPr>
            <w:tcW w:w="42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c>
          <w:tcPr>
            <w:tcW w:w="374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r>
      <w:tr>
        <w:trPr>
          <w:trHeight w:val="284"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705" w:hanging="0"/>
              <w:jc w:val="left"/>
              <w:rPr>
                <w:rFonts w:ascii="Calibri" w:hAnsi="Calibri" w:eastAsia="Calibri"/>
              </w:rPr>
            </w:pPr>
            <w:r>
              <w:rPr>
                <w:rFonts w:eastAsia="Calibri"/>
                <w:kern w:val="0"/>
                <w:sz w:val="22"/>
                <w:szCs w:val="22"/>
              </w:rPr>
              <w:t>2017</w:t>
            </w:r>
          </w:p>
        </w:tc>
        <w:tc>
          <w:tcPr>
            <w:tcW w:w="42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c>
          <w:tcPr>
            <w:tcW w:w="374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r>
      <w:tr>
        <w:trPr>
          <w:trHeight w:val="282"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2" w:before="0" w:after="0"/>
              <w:ind w:left="705" w:hanging="0"/>
              <w:jc w:val="left"/>
              <w:rPr>
                <w:rFonts w:ascii="Calibri" w:hAnsi="Calibri" w:eastAsia="Calibri"/>
              </w:rPr>
            </w:pPr>
            <w:r>
              <w:rPr>
                <w:rFonts w:eastAsia="Calibri"/>
                <w:kern w:val="0"/>
                <w:sz w:val="22"/>
                <w:szCs w:val="22"/>
              </w:rPr>
              <w:t>2018</w:t>
            </w:r>
          </w:p>
        </w:tc>
        <w:tc>
          <w:tcPr>
            <w:tcW w:w="42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c>
          <w:tcPr>
            <w:tcW w:w="374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r>
      <w:tr>
        <w:trPr>
          <w:trHeight w:val="282"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2" w:before="0" w:after="0"/>
              <w:ind w:left="705" w:hanging="0"/>
              <w:jc w:val="left"/>
              <w:rPr>
                <w:rFonts w:ascii="Calibri" w:hAnsi="Calibri" w:eastAsia="Calibri"/>
              </w:rPr>
            </w:pPr>
            <w:r>
              <w:rPr>
                <w:rFonts w:eastAsia="Calibri"/>
                <w:kern w:val="0"/>
                <w:sz w:val="22"/>
                <w:szCs w:val="22"/>
              </w:rPr>
              <w:t>2019</w:t>
            </w:r>
          </w:p>
        </w:tc>
        <w:tc>
          <w:tcPr>
            <w:tcW w:w="42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r>
          </w:p>
        </w:tc>
        <w:tc>
          <w:tcPr>
            <w:tcW w:w="374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r>
          </w:p>
        </w:tc>
      </w:tr>
      <w:tr>
        <w:trPr>
          <w:trHeight w:val="282"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2" w:before="0" w:after="0"/>
              <w:ind w:left="705" w:hanging="0"/>
              <w:jc w:val="left"/>
              <w:rPr>
                <w:rFonts w:ascii="Calibri" w:hAnsi="Calibri" w:eastAsia="Calibri"/>
              </w:rPr>
            </w:pPr>
            <w:r>
              <w:rPr>
                <w:rFonts w:eastAsia="Calibri"/>
                <w:kern w:val="0"/>
                <w:sz w:val="22"/>
                <w:szCs w:val="22"/>
              </w:rPr>
              <w:t>2020</w:t>
            </w:r>
          </w:p>
        </w:tc>
        <w:tc>
          <w:tcPr>
            <w:tcW w:w="42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r>
          </w:p>
        </w:tc>
        <w:tc>
          <w:tcPr>
            <w:tcW w:w="374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r>
          </w:p>
        </w:tc>
      </w:tr>
      <w:tr>
        <w:trPr>
          <w:trHeight w:val="284"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705" w:hanging="0"/>
              <w:jc w:val="left"/>
              <w:rPr>
                <w:rFonts w:ascii="Calibri" w:hAnsi="Calibri" w:eastAsia="Calibri"/>
              </w:rPr>
            </w:pPr>
            <w:r>
              <w:rPr>
                <w:rFonts w:eastAsia="Calibri"/>
                <w:kern w:val="0"/>
                <w:sz w:val="22"/>
                <w:szCs w:val="22"/>
              </w:rPr>
              <w:t>2021</w:t>
            </w:r>
          </w:p>
        </w:tc>
        <w:tc>
          <w:tcPr>
            <w:tcW w:w="42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c>
          <w:tcPr>
            <w:tcW w:w="374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r>
      <w:tr>
        <w:trPr>
          <w:trHeight w:val="282"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2" w:before="0" w:after="0"/>
              <w:ind w:left="705" w:hanging="0"/>
              <w:jc w:val="left"/>
              <w:rPr>
                <w:rFonts w:ascii="Calibri" w:hAnsi="Calibri" w:eastAsia="Calibri"/>
              </w:rPr>
            </w:pPr>
            <w:r>
              <w:rPr>
                <w:rFonts w:eastAsia="Calibri"/>
                <w:kern w:val="0"/>
                <w:sz w:val="22"/>
                <w:szCs w:val="22"/>
              </w:rPr>
              <w:t>2022</w:t>
            </w:r>
          </w:p>
        </w:tc>
        <w:tc>
          <w:tcPr>
            <w:tcW w:w="425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c>
          <w:tcPr>
            <w:tcW w:w="3741"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r>
      <w:tr>
        <w:trPr>
          <w:trHeight w:val="282"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3" w:before="0" w:after="0"/>
              <w:ind w:left="558" w:right="540" w:hanging="0"/>
              <w:jc w:val="center"/>
              <w:rPr>
                <w:rFonts w:ascii="Calibri" w:hAnsi="Calibri" w:eastAsia="Calibri"/>
              </w:rPr>
            </w:pPr>
            <w:r>
              <w:rPr>
                <w:rFonts w:eastAsia="Calibri"/>
                <w:kern w:val="0"/>
                <w:sz w:val="22"/>
                <w:szCs w:val="22"/>
              </w:rPr>
              <w:t>2023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Calibri"/>
                <w:kern w:val="0"/>
                <w:sz w:val="22"/>
                <w:szCs w:val="22"/>
              </w:rPr>
            </w:pPr>
            <w:r>
              <w:rPr>
                <w:rFonts w:eastAsia="Calibri"/>
                <w:b/>
                <w:color w:val="000000"/>
                <w:kern w:val="0"/>
                <w:sz w:val="22"/>
                <w:szCs w:val="22"/>
              </w:rPr>
              <w:t xml:space="preserve">€ </w:t>
            </w:r>
            <w:r>
              <w:rPr>
                <w:rFonts w:eastAsia="Calibri"/>
                <w:b/>
                <w:color w:val="000000"/>
                <w:kern w:val="0"/>
                <w:sz w:val="22"/>
                <w:szCs w:val="22"/>
              </w:rPr>
              <w:t>10.000,00</w:t>
            </w:r>
          </w:p>
        </w:tc>
        <w:tc>
          <w:tcPr>
            <w:tcW w:w="374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Calibri"/>
                <w:kern w:val="0"/>
                <w:sz w:val="22"/>
                <w:szCs w:val="22"/>
              </w:rPr>
            </w:pPr>
            <w:r>
              <w:rPr>
                <w:rFonts w:eastAsia="Calibri"/>
                <w:b/>
                <w:color w:val="000000"/>
                <w:kern w:val="0"/>
                <w:sz w:val="22"/>
                <w:szCs w:val="22"/>
              </w:rPr>
              <w:t xml:space="preserve">€ </w:t>
            </w:r>
            <w:r>
              <w:rPr>
                <w:rFonts w:eastAsia="Calibri"/>
                <w:b/>
                <w:color w:val="000000"/>
                <w:kern w:val="0"/>
                <w:sz w:val="22"/>
                <w:szCs w:val="22"/>
              </w:rPr>
              <w:t>10.000,00</w:t>
            </w:r>
          </w:p>
        </w:tc>
      </w:tr>
      <w:tr>
        <w:trPr>
          <w:trHeight w:val="282" w:hRule="atLeast"/>
        </w:trPr>
        <w:tc>
          <w:tcPr>
            <w:tcW w:w="18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2" w:before="0" w:after="0"/>
              <w:ind w:left="559" w:right="540" w:hanging="0"/>
              <w:jc w:val="center"/>
              <w:rPr>
                <w:b/>
                <w:b/>
              </w:rPr>
            </w:pPr>
            <w:r>
              <w:rPr>
                <w:rFonts w:eastAsia="Calibri"/>
                <w:b/>
                <w:kern w:val="0"/>
                <w:sz w:val="22"/>
                <w:szCs w:val="22"/>
              </w:rPr>
              <w:t>TOTALE</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Calibri"/>
                <w:kern w:val="0"/>
                <w:sz w:val="22"/>
                <w:szCs w:val="22"/>
              </w:rPr>
            </w:pPr>
            <w:r>
              <w:rPr>
                <w:rFonts w:eastAsia="Calibri"/>
                <w:b/>
                <w:color w:val="000000"/>
                <w:kern w:val="0"/>
                <w:sz w:val="22"/>
                <w:szCs w:val="22"/>
              </w:rPr>
              <w:t xml:space="preserve">€ </w:t>
            </w:r>
            <w:r>
              <w:rPr>
                <w:rFonts w:eastAsia="Calibri"/>
                <w:b/>
                <w:color w:val="000000"/>
                <w:kern w:val="0"/>
                <w:sz w:val="22"/>
                <w:szCs w:val="22"/>
              </w:rPr>
              <w:t>10.000,00</w:t>
            </w:r>
          </w:p>
        </w:tc>
        <w:tc>
          <w:tcPr>
            <w:tcW w:w="3741" w:type="dxa"/>
            <w:tcBorders>
              <w:top w:val="single" w:sz="8" w:space="0" w:color="000000"/>
              <w:left w:val="single" w:sz="8" w:space="0" w:color="000000"/>
              <w:bottom w:val="single" w:sz="8" w:space="0" w:color="000000"/>
              <w:right w:val="single" w:sz="8" w:space="0" w:color="000000"/>
            </w:tcBorders>
          </w:tcPr>
          <w:p>
            <w:pPr>
              <w:pStyle w:val="Normal"/>
              <w:widowControl w:val="false"/>
              <w:suppressAutoHyphens w:val="true"/>
              <w:spacing w:before="0" w:after="0"/>
              <w:jc w:val="center"/>
              <w:rPr>
                <w:rFonts w:eastAsia="Calibri"/>
                <w:kern w:val="0"/>
                <w:sz w:val="22"/>
                <w:szCs w:val="22"/>
              </w:rPr>
            </w:pPr>
            <w:r>
              <w:rPr>
                <w:rFonts w:eastAsia="Calibri"/>
                <w:b/>
                <w:color w:val="000000"/>
                <w:kern w:val="0"/>
                <w:sz w:val="22"/>
                <w:szCs w:val="22"/>
              </w:rPr>
              <w:t xml:space="preserve">€ </w:t>
            </w:r>
            <w:r>
              <w:rPr>
                <w:rFonts w:eastAsia="Calibri"/>
                <w:b/>
                <w:color w:val="000000"/>
                <w:kern w:val="0"/>
                <w:sz w:val="22"/>
                <w:szCs w:val="22"/>
              </w:rPr>
              <w:t>10.000,00</w:t>
            </w:r>
          </w:p>
        </w:tc>
      </w:tr>
    </w:tbl>
    <w:p>
      <w:pPr>
        <w:pStyle w:val="Normal"/>
        <w:rPr/>
      </w:pPr>
      <w:r>
        <w:rPr/>
      </w:r>
    </w:p>
    <w:p>
      <w:pPr>
        <w:pStyle w:val="Normal"/>
        <w:rPr/>
      </w:pPr>
      <w:r>
        <w:rPr/>
      </w:r>
    </w:p>
    <w:p>
      <w:pPr>
        <w:pStyle w:val="Corpodeltesto"/>
        <w:spacing w:before="11" w:after="0"/>
        <w:ind w:left="567" w:hanging="329"/>
        <w:rPr>
          <w:i/>
          <w:i/>
          <w:sz w:val="22"/>
          <w:szCs w:val="22"/>
        </w:rPr>
      </w:pPr>
      <w:r>
        <mc:AlternateContent>
          <mc:Choice Requires="wps">
            <w:drawing>
              <wp:anchor behindDoc="0" distT="0" distB="0" distL="0" distR="0" simplePos="0" locked="0" layoutInCell="0" allowOverlap="1" relativeHeight="6">
                <wp:simplePos x="0" y="0"/>
                <wp:positionH relativeFrom="page">
                  <wp:posOffset>647700</wp:posOffset>
                </wp:positionH>
                <wp:positionV relativeFrom="paragraph">
                  <wp:posOffset>213360</wp:posOffset>
                </wp:positionV>
                <wp:extent cx="6271260" cy="405765"/>
                <wp:effectExtent l="0" t="3810" r="0" b="2540"/>
                <wp:wrapTopAndBottom/>
                <wp:docPr id="19" name="Text Box 209"/>
                <a:graphic xmlns:a="http://schemas.openxmlformats.org/drawingml/2006/main">
                  <a:graphicData uri="http://schemas.microsoft.com/office/word/2010/wordprocessingShape">
                    <wps:wsp>
                      <wps:cNvSpPr/>
                      <wps:spPr>
                        <a:xfrm>
                          <a:off x="0" y="0"/>
                          <a:ext cx="6271200" cy="405720"/>
                        </a:xfrm>
                        <a:prstGeom prst="rect">
                          <a:avLst/>
                        </a:prstGeom>
                        <a:solidFill>
                          <a:srgbClr val="f1f1f1"/>
                        </a:solidFill>
                        <a:ln w="6480">
                          <a:solidFill>
                            <a:srgbClr val="808080"/>
                          </a:solidFill>
                          <a:miter/>
                        </a:ln>
                      </wps:spPr>
                      <wps:style>
                        <a:lnRef idx="0"/>
                        <a:fillRef idx="0"/>
                        <a:effectRef idx="0"/>
                        <a:fontRef idx="minor"/>
                      </wps:style>
                      <wps:txbx>
                        <w:txbxContent>
                          <w:p>
                            <w:pPr>
                              <w:pStyle w:val="Contenutocornice"/>
                              <w:spacing w:before="16" w:after="0"/>
                              <w:ind w:left="2578" w:right="2577" w:hanging="0"/>
                              <w:jc w:val="center"/>
                              <w:rPr>
                                <w:rFonts w:ascii="Calibri Light" w:hAnsi="Calibri Light"/>
                              </w:rPr>
                            </w:pPr>
                            <w:r>
                              <w:rPr>
                                <w:rFonts w:ascii="Calibri Light" w:hAnsi="Calibri Light"/>
                                <w:color w:val="1F4D78"/>
                              </w:rPr>
                              <w:t>SEZIONE V</w:t>
                            </w:r>
                          </w:p>
                          <w:p>
                            <w:pPr>
                              <w:pStyle w:val="Contenutocornice"/>
                              <w:spacing w:before="24" w:after="0"/>
                              <w:ind w:left="2578" w:right="2578" w:hanging="0"/>
                              <w:jc w:val="center"/>
                              <w:rPr>
                                <w:rFonts w:ascii="Calibri Light" w:hAnsi="Calibri Light"/>
                              </w:rPr>
                            </w:pPr>
                            <w:r>
                              <w:rPr>
                                <w:rFonts w:ascii="Calibri Light" w:hAnsi="Calibri Light"/>
                                <w:color w:val="1F4D78"/>
                              </w:rPr>
                              <w:t>DATI PER IL MONITORAGGIO FISICO</w:t>
                            </w:r>
                          </w:p>
                        </w:txbxContent>
                      </wps:txbx>
                      <wps:bodyPr lIns="0" rIns="0" tIns="0" bIns="0" anchor="t" upright="1">
                        <a:noAutofit/>
                      </wps:bodyPr>
                    </wps:wsp>
                  </a:graphicData>
                </a:graphic>
              </wp:anchor>
            </w:drawing>
          </mc:Choice>
          <mc:Fallback>
            <w:pict>
              <v:rect id="shape_0" ID="Text Box 209" path="m0,0l-2147483645,0l-2147483645,-2147483646l0,-2147483646xe" fillcolor="#f1f1f1" stroked="t" o:allowincell="f" style="position:absolute;margin-left:51pt;margin-top:16.8pt;width:493.75pt;height:31.9pt;mso-wrap-style:square;v-text-anchor:top;mso-position-horizontal-relative:page">
                <v:fill o:detectmouseclick="t" type="solid" color2="#0e0e0e"/>
                <v:stroke color="gray" weight="6480" joinstyle="miter" endcap="flat"/>
                <v:textbox>
                  <w:txbxContent>
                    <w:p>
                      <w:pPr>
                        <w:pStyle w:val="Contenutocornice"/>
                        <w:spacing w:before="16" w:after="0"/>
                        <w:ind w:left="2578" w:right="2577" w:hanging="0"/>
                        <w:jc w:val="center"/>
                        <w:rPr>
                          <w:rFonts w:ascii="Calibri Light" w:hAnsi="Calibri Light"/>
                        </w:rPr>
                      </w:pPr>
                      <w:r>
                        <w:rPr>
                          <w:rFonts w:ascii="Calibri Light" w:hAnsi="Calibri Light"/>
                          <w:color w:val="1F4D78"/>
                        </w:rPr>
                        <w:t>SEZIONE V</w:t>
                      </w:r>
                    </w:p>
                    <w:p>
                      <w:pPr>
                        <w:pStyle w:val="Contenutocornice"/>
                        <w:spacing w:before="24" w:after="0"/>
                        <w:ind w:left="2578" w:right="2578" w:hanging="0"/>
                        <w:jc w:val="center"/>
                        <w:rPr>
                          <w:rFonts w:ascii="Calibri Light" w:hAnsi="Calibri Light"/>
                        </w:rPr>
                      </w:pPr>
                      <w:r>
                        <w:rPr>
                          <w:rFonts w:ascii="Calibri Light" w:hAnsi="Calibri Light"/>
                          <w:color w:val="1F4D78"/>
                        </w:rPr>
                        <w:t>DATI PER IL MONITORAGGIO FISICO</w:t>
                      </w:r>
                    </w:p>
                  </w:txbxContent>
                </v:textbox>
                <w10:wrap type="topAndBottom"/>
              </v:rect>
            </w:pict>
          </mc:Fallback>
        </mc:AlternateContent>
      </w:r>
      <w:r>
        <w:rPr>
          <w:i/>
          <w:color w:val="1F4D78"/>
          <w:sz w:val="22"/>
          <w:szCs w:val="22"/>
        </w:rPr>
        <w:t xml:space="preserve">9. Categorie di Operazione ex art. 8 Reg.es. (UE)215/2014 </w:t>
      </w:r>
    </w:p>
    <w:tbl>
      <w:tblPr>
        <w:tblStyle w:val="TableNormal"/>
        <w:tblW w:w="9857" w:type="dxa"/>
        <w:jc w:val="left"/>
        <w:tblInd w:w="154" w:type="dxa"/>
        <w:tblLayout w:type="fixed"/>
        <w:tblCellMar>
          <w:top w:w="0" w:type="dxa"/>
          <w:left w:w="10" w:type="dxa"/>
          <w:bottom w:w="0" w:type="dxa"/>
          <w:right w:w="10" w:type="dxa"/>
        </w:tblCellMar>
        <w:tblLook w:firstRow="1" w:noVBand="0" w:lastRow="1" w:firstColumn="1" w:lastColumn="1" w:noHBand="0" w:val="01e0"/>
      </w:tblPr>
      <w:tblGrid>
        <w:gridCol w:w="5360"/>
        <w:gridCol w:w="4496"/>
      </w:tblGrid>
      <w:tr>
        <w:trPr>
          <w:trHeight w:val="580" w:hRule="atLeast"/>
        </w:trPr>
        <w:tc>
          <w:tcPr>
            <w:tcW w:w="5360"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before="152" w:after="0"/>
              <w:ind w:left="2113" w:right="2095" w:hanging="0"/>
              <w:jc w:val="center"/>
              <w:rPr>
                <w:b/>
                <w:b/>
              </w:rPr>
            </w:pPr>
            <w:r>
              <w:rPr>
                <w:rFonts w:eastAsia="Calibri"/>
                <w:b/>
                <w:kern w:val="0"/>
                <w:sz w:val="22"/>
                <w:szCs w:val="22"/>
              </w:rPr>
              <w:t>Dimensione</w:t>
            </w:r>
          </w:p>
        </w:tc>
        <w:tc>
          <w:tcPr>
            <w:tcW w:w="4496"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before="152" w:after="0"/>
              <w:ind w:left="1924" w:right="1904" w:hanging="0"/>
              <w:jc w:val="center"/>
              <w:rPr>
                <w:b/>
                <w:b/>
              </w:rPr>
            </w:pPr>
            <w:r>
              <w:rPr>
                <w:rFonts w:eastAsia="Calibri"/>
                <w:b/>
                <w:kern w:val="0"/>
                <w:sz w:val="22"/>
                <w:szCs w:val="22"/>
              </w:rPr>
              <w:t>Codice</w:t>
            </w:r>
          </w:p>
        </w:tc>
      </w:tr>
      <w:tr>
        <w:trPr>
          <w:trHeight w:val="400" w:hRule="atLeast"/>
        </w:trPr>
        <w:tc>
          <w:tcPr>
            <w:tcW w:w="53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468" w:hanging="0"/>
              <w:jc w:val="left"/>
              <w:rPr>
                <w:rFonts w:ascii="Calibri" w:hAnsi="Calibri" w:eastAsia="Calibri"/>
              </w:rPr>
            </w:pPr>
            <w:r>
              <w:rPr>
                <w:rFonts w:eastAsia="Calibri"/>
                <w:kern w:val="0"/>
                <w:sz w:val="22"/>
                <w:szCs w:val="22"/>
              </w:rPr>
              <w:t>Campo di Operazione</w:t>
            </w:r>
          </w:p>
        </w:tc>
        <w:tc>
          <w:tcPr>
            <w:tcW w:w="449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t>048</w:t>
            </w:r>
          </w:p>
        </w:tc>
      </w:tr>
      <w:tr>
        <w:trPr>
          <w:trHeight w:val="400" w:hRule="atLeast"/>
        </w:trPr>
        <w:tc>
          <w:tcPr>
            <w:tcW w:w="53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468" w:hanging="0"/>
              <w:jc w:val="left"/>
              <w:rPr>
                <w:rFonts w:ascii="Calibri" w:hAnsi="Calibri" w:eastAsia="Calibri"/>
              </w:rPr>
            </w:pPr>
            <w:r>
              <w:rPr>
                <w:rFonts w:eastAsia="Calibri"/>
                <w:kern w:val="0"/>
                <w:sz w:val="22"/>
                <w:szCs w:val="22"/>
              </w:rPr>
              <w:t>Forme di finanziamento</w:t>
            </w:r>
          </w:p>
        </w:tc>
        <w:tc>
          <w:tcPr>
            <w:tcW w:w="449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t>01</w:t>
            </w:r>
          </w:p>
        </w:tc>
      </w:tr>
      <w:tr>
        <w:trPr>
          <w:trHeight w:val="400" w:hRule="atLeast"/>
        </w:trPr>
        <w:tc>
          <w:tcPr>
            <w:tcW w:w="53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6" w:before="0" w:after="0"/>
              <w:ind w:left="468" w:hanging="0"/>
              <w:jc w:val="left"/>
              <w:rPr>
                <w:rFonts w:ascii="Calibri" w:hAnsi="Calibri" w:eastAsia="Calibri"/>
              </w:rPr>
            </w:pPr>
            <w:r>
              <w:rPr>
                <w:rFonts w:eastAsia="Calibri"/>
                <w:kern w:val="0"/>
                <w:sz w:val="22"/>
                <w:szCs w:val="22"/>
              </w:rPr>
              <w:t>Territorio</w:t>
            </w:r>
          </w:p>
        </w:tc>
        <w:tc>
          <w:tcPr>
            <w:tcW w:w="449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t>03</w:t>
            </w:r>
          </w:p>
        </w:tc>
      </w:tr>
      <w:tr>
        <w:trPr>
          <w:trHeight w:val="400" w:hRule="atLeast"/>
        </w:trPr>
        <w:tc>
          <w:tcPr>
            <w:tcW w:w="53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468" w:hanging="0"/>
              <w:jc w:val="left"/>
              <w:rPr>
                <w:rFonts w:ascii="Calibri" w:hAnsi="Calibri" w:eastAsia="Calibri"/>
              </w:rPr>
            </w:pPr>
            <w:r>
              <w:rPr>
                <w:rFonts w:eastAsia="Calibri"/>
                <w:kern w:val="0"/>
                <w:sz w:val="22"/>
                <w:szCs w:val="22"/>
              </w:rPr>
              <w:t>Meccanismi di erogazione territoriale</w:t>
            </w:r>
          </w:p>
        </w:tc>
        <w:tc>
          <w:tcPr>
            <w:tcW w:w="449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t>04</w:t>
            </w:r>
          </w:p>
        </w:tc>
      </w:tr>
      <w:tr>
        <w:trPr>
          <w:trHeight w:val="400" w:hRule="atLeast"/>
        </w:trPr>
        <w:tc>
          <w:tcPr>
            <w:tcW w:w="53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468" w:hanging="0"/>
              <w:jc w:val="left"/>
              <w:rPr>
                <w:rFonts w:ascii="Calibri" w:hAnsi="Calibri" w:eastAsia="Calibri"/>
              </w:rPr>
            </w:pPr>
            <w:r>
              <w:rPr>
                <w:rFonts w:eastAsia="Calibri"/>
                <w:kern w:val="0"/>
                <w:sz w:val="22"/>
                <w:szCs w:val="22"/>
              </w:rPr>
              <w:t>Obiettivo tematico</w:t>
            </w:r>
          </w:p>
        </w:tc>
        <w:tc>
          <w:tcPr>
            <w:tcW w:w="449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t>2</w:t>
            </w:r>
          </w:p>
        </w:tc>
      </w:tr>
      <w:tr>
        <w:trPr>
          <w:trHeight w:val="400" w:hRule="atLeast"/>
        </w:trPr>
        <w:tc>
          <w:tcPr>
            <w:tcW w:w="5360"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lineRule="exact" w:line="265" w:before="0" w:after="0"/>
              <w:ind w:left="468" w:hanging="0"/>
              <w:jc w:val="left"/>
              <w:rPr>
                <w:rFonts w:ascii="Calibri" w:hAnsi="Calibri" w:eastAsia="Calibri"/>
              </w:rPr>
            </w:pPr>
            <w:r>
              <w:rPr>
                <w:rFonts w:eastAsia="Calibri"/>
                <w:kern w:val="0"/>
                <w:sz w:val="22"/>
                <w:szCs w:val="22"/>
              </w:rPr>
              <w:t>Ubicazione</w:t>
            </w:r>
          </w:p>
        </w:tc>
        <w:tc>
          <w:tcPr>
            <w:tcW w:w="449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t>ITG13</w:t>
            </w:r>
          </w:p>
        </w:tc>
      </w:tr>
    </w:tbl>
    <w:p>
      <w:pPr>
        <w:pStyle w:val="Corpodeltesto"/>
        <w:spacing w:before="1" w:after="0"/>
        <w:rPr>
          <w:i/>
          <w:i/>
          <w:sz w:val="22"/>
          <w:szCs w:val="22"/>
        </w:rPr>
      </w:pPr>
      <w:r>
        <w:rPr>
          <w:i/>
          <w:sz w:val="22"/>
          <w:szCs w:val="22"/>
        </w:rPr>
      </w:r>
    </w:p>
    <w:p>
      <w:pPr>
        <w:pStyle w:val="Normal"/>
        <w:widowControl/>
        <w:rPr>
          <w:i/>
          <w:i/>
          <w:color w:val="1F4D78"/>
        </w:rPr>
      </w:pPr>
      <w:r>
        <w:rPr>
          <w:i/>
          <w:color w:val="1F4D78"/>
        </w:rPr>
      </w:r>
      <w:r>
        <w:br w:type="page"/>
      </w:r>
    </w:p>
    <w:p>
      <w:pPr>
        <w:pStyle w:val="ListParagraph"/>
        <w:tabs>
          <w:tab w:val="clear" w:pos="720"/>
          <w:tab w:val="left" w:pos="594" w:leader="none"/>
        </w:tabs>
        <w:spacing w:before="0" w:after="23"/>
        <w:ind w:left="823" w:hanging="0"/>
        <w:rPr>
          <w:i/>
          <w:i/>
        </w:rPr>
      </w:pPr>
      <w:r>
        <w:rPr>
          <w:i/>
          <w:color w:val="1F4D78"/>
        </w:rPr>
        <w:t xml:space="preserve">10. Indicatori fisici daPO </w:t>
      </w:r>
    </w:p>
    <w:tbl>
      <w:tblPr>
        <w:tblStyle w:val="TableNormal"/>
        <w:tblW w:w="10136" w:type="dxa"/>
        <w:jc w:val="left"/>
        <w:tblInd w:w="154" w:type="dxa"/>
        <w:tblLayout w:type="fixed"/>
        <w:tblCellMar>
          <w:top w:w="0" w:type="dxa"/>
          <w:left w:w="10" w:type="dxa"/>
          <w:bottom w:w="0" w:type="dxa"/>
          <w:right w:w="10" w:type="dxa"/>
        </w:tblCellMar>
        <w:tblLook w:firstRow="1" w:noVBand="0" w:lastRow="1" w:firstColumn="1" w:lastColumn="1" w:noHBand="0" w:val="01e0"/>
      </w:tblPr>
      <w:tblGrid>
        <w:gridCol w:w="2246"/>
        <w:gridCol w:w="1287"/>
        <w:gridCol w:w="1437"/>
        <w:gridCol w:w="1984"/>
        <w:gridCol w:w="1513"/>
        <w:gridCol w:w="1668"/>
      </w:tblGrid>
      <w:tr>
        <w:trPr>
          <w:trHeight w:val="586" w:hRule="atLeast"/>
        </w:trPr>
        <w:tc>
          <w:tcPr>
            <w:tcW w:w="2246"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lineRule="exact" w:line="267" w:before="0" w:after="0"/>
              <w:ind w:left="564" w:hanging="0"/>
              <w:jc w:val="left"/>
              <w:rPr>
                <w:b/>
                <w:b/>
              </w:rPr>
            </w:pPr>
            <w:r>
              <w:rPr>
                <w:rFonts w:eastAsia="Calibri"/>
                <w:b/>
                <w:kern w:val="0"/>
                <w:sz w:val="22"/>
                <w:szCs w:val="22"/>
              </w:rPr>
              <w:t>Descrizione</w:t>
            </w:r>
          </w:p>
          <w:p>
            <w:pPr>
              <w:pStyle w:val="TableParagraph"/>
              <w:widowControl w:val="false"/>
              <w:suppressAutoHyphens w:val="true"/>
              <w:spacing w:lineRule="exact" w:line="251" w:before="0" w:after="0"/>
              <w:ind w:left="626" w:hanging="0"/>
              <w:jc w:val="left"/>
              <w:rPr>
                <w:b/>
                <w:b/>
              </w:rPr>
            </w:pPr>
            <w:r>
              <w:rPr>
                <w:rFonts w:eastAsia="Calibri"/>
                <w:b/>
                <w:kern w:val="0"/>
                <w:sz w:val="22"/>
                <w:szCs w:val="22"/>
              </w:rPr>
              <w:t>indicatore</w:t>
            </w:r>
          </w:p>
        </w:tc>
        <w:tc>
          <w:tcPr>
            <w:tcW w:w="1287"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c>
          <w:tcPr>
            <w:tcW w:w="1437"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lineRule="exact" w:line="267" w:before="0" w:after="0"/>
              <w:ind w:left="338" w:hanging="0"/>
              <w:jc w:val="left"/>
              <w:rPr>
                <w:b/>
                <w:b/>
              </w:rPr>
            </w:pPr>
            <w:r>
              <w:rPr>
                <w:rFonts w:eastAsia="Calibri"/>
                <w:b/>
                <w:kern w:val="0"/>
                <w:sz w:val="22"/>
                <w:szCs w:val="22"/>
              </w:rPr>
              <w:t>Unità di</w:t>
            </w:r>
          </w:p>
          <w:p>
            <w:pPr>
              <w:pStyle w:val="TableParagraph"/>
              <w:widowControl w:val="false"/>
              <w:suppressAutoHyphens w:val="true"/>
              <w:spacing w:lineRule="exact" w:line="251" w:before="0" w:after="0"/>
              <w:ind w:left="388" w:hanging="0"/>
              <w:jc w:val="left"/>
              <w:rPr>
                <w:b/>
                <w:b/>
              </w:rPr>
            </w:pPr>
            <w:r>
              <w:rPr>
                <w:rFonts w:eastAsia="Calibri"/>
                <w:b/>
                <w:kern w:val="0"/>
                <w:sz w:val="22"/>
                <w:szCs w:val="22"/>
              </w:rPr>
              <w:t>misura</w:t>
            </w:r>
          </w:p>
        </w:tc>
        <w:tc>
          <w:tcPr>
            <w:tcW w:w="1984"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before="133" w:after="0"/>
              <w:ind w:left="422" w:hanging="0"/>
              <w:jc w:val="left"/>
              <w:rPr>
                <w:b/>
                <w:b/>
              </w:rPr>
            </w:pPr>
            <w:r>
              <w:rPr>
                <w:rFonts w:eastAsia="Calibri"/>
                <w:b/>
                <w:kern w:val="0"/>
                <w:sz w:val="22"/>
                <w:szCs w:val="22"/>
              </w:rPr>
              <w:t>baseline</w:t>
            </w:r>
          </w:p>
        </w:tc>
        <w:tc>
          <w:tcPr>
            <w:tcW w:w="1513"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before="133" w:after="0"/>
              <w:ind w:left="194" w:hanging="0"/>
              <w:jc w:val="left"/>
              <w:rPr>
                <w:b/>
                <w:b/>
              </w:rPr>
            </w:pPr>
            <w:r>
              <w:rPr>
                <w:rFonts w:eastAsia="Calibri"/>
                <w:b/>
                <w:kern w:val="0"/>
                <w:sz w:val="22"/>
                <w:szCs w:val="22"/>
              </w:rPr>
              <w:t>Target 2020</w:t>
            </w:r>
          </w:p>
        </w:tc>
        <w:tc>
          <w:tcPr>
            <w:tcW w:w="1668" w:type="dxa"/>
            <w:tcBorders>
              <w:top w:val="single" w:sz="8" w:space="0" w:color="000000"/>
              <w:left w:val="single" w:sz="8" w:space="0" w:color="000000"/>
              <w:bottom w:val="single" w:sz="8" w:space="0" w:color="000000"/>
              <w:right w:val="single" w:sz="8" w:space="0" w:color="000000"/>
            </w:tcBorders>
            <w:shd w:color="auto" w:fill="F1F1F1" w:val="clear"/>
          </w:tcPr>
          <w:p>
            <w:pPr>
              <w:pStyle w:val="TableParagraph"/>
              <w:widowControl w:val="false"/>
              <w:suppressAutoHyphens w:val="true"/>
              <w:spacing w:before="133" w:after="0"/>
              <w:ind w:left="270" w:hanging="0"/>
              <w:jc w:val="left"/>
              <w:rPr>
                <w:b/>
                <w:b/>
              </w:rPr>
            </w:pPr>
            <w:r>
              <w:rPr>
                <w:rFonts w:eastAsia="Calibri"/>
                <w:b/>
                <w:kern w:val="0"/>
                <w:sz w:val="22"/>
                <w:szCs w:val="22"/>
              </w:rPr>
              <w:t>Target 2023</w:t>
            </w:r>
          </w:p>
        </w:tc>
      </w:tr>
      <w:tr>
        <w:trPr>
          <w:trHeight w:val="652" w:hRule="atLeast"/>
        </w:trPr>
        <w:tc>
          <w:tcPr>
            <w:tcW w:w="2246"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t>Realizzazione:</w:t>
            </w:r>
          </w:p>
          <w:p>
            <w:pPr>
              <w:pStyle w:val="TableParagraph"/>
              <w:widowControl w:val="false"/>
              <w:suppressAutoHyphens w:val="true"/>
              <w:spacing w:before="0" w:after="0"/>
              <w:jc w:val="left"/>
              <w:rPr>
                <w:rFonts w:cs="Calibri" w:cstheme="minorHAnsi"/>
              </w:rPr>
            </w:pPr>
            <w:r>
              <w:rPr>
                <w:rFonts w:eastAsia="Calibri" w:cs="Calibri" w:cstheme="minorHAnsi"/>
                <w:kern w:val="0"/>
                <w:sz w:val="18"/>
                <w:szCs w:val="18"/>
              </w:rPr>
              <w:t>Pubbliche amministrazioni locali che hanno dematerializzato i propri procedimenti amministrativi</w:t>
            </w:r>
          </w:p>
        </w:tc>
        <w:tc>
          <w:tcPr>
            <w:tcW w:w="128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c>
          <w:tcPr>
            <w:tcW w:w="1437"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t>nr.</w:t>
            </w:r>
          </w:p>
        </w:tc>
        <w:tc>
          <w:tcPr>
            <w:tcW w:w="1984"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t>0</w:t>
            </w:r>
          </w:p>
        </w:tc>
        <w:tc>
          <w:tcPr>
            <w:tcW w:w="1513"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c>
          <w:tcPr>
            <w:tcW w:w="1668" w:type="dxa"/>
            <w:tcBorders>
              <w:top w:val="single" w:sz="8" w:space="0" w:color="000000"/>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ascii="Calibri" w:hAnsi="Calibri" w:eastAsia="Calibri" w:cs="Calibri" w:cstheme="minorHAnsi"/>
                <w:shd w:fill="FFFF00" w:val="clear"/>
              </w:rPr>
            </w:pPr>
            <w:r>
              <w:rPr>
                <w:rFonts w:eastAsia="Calibri" w:cs="Calibri" w:cstheme="minorHAnsi"/>
                <w:kern w:val="0"/>
                <w:sz w:val="22"/>
                <w:szCs w:val="22"/>
                <w:shd w:fill="FFFF00" w:val="clear"/>
              </w:rPr>
              <w:t>1</w:t>
            </w:r>
          </w:p>
        </w:tc>
      </w:tr>
      <w:tr>
        <w:trPr>
          <w:trHeight w:val="652" w:hRule="atLeast"/>
        </w:trPr>
        <w:tc>
          <w:tcPr>
            <w:tcW w:w="2246"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cs="Calibri" w:cstheme="minorHAnsi"/>
              </w:rPr>
            </w:pPr>
            <w:r>
              <w:rPr>
                <w:rFonts w:eastAsia="Calibri"/>
                <w:kern w:val="0"/>
                <w:sz w:val="22"/>
                <w:szCs w:val="22"/>
              </w:rPr>
              <w:t xml:space="preserve">Risultato: </w:t>
            </w:r>
            <w:r>
              <w:rPr>
                <w:rFonts w:eastAsia="Calibri"/>
                <w:kern w:val="0"/>
                <w:sz w:val="18"/>
                <w:szCs w:val="18"/>
              </w:rPr>
              <w:t>Comuni con servizi pienamente interattivi</w:t>
            </w:r>
          </w:p>
        </w:tc>
        <w:tc>
          <w:tcPr>
            <w:tcW w:w="1287"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left"/>
              <w:rPr>
                <w:rFonts w:ascii="Calibri" w:hAnsi="Calibri" w:eastAsia="Calibri"/>
              </w:rPr>
            </w:pPr>
            <w:r>
              <w:rPr>
                <w:rFonts w:eastAsia="Calibri"/>
                <w:kern w:val="0"/>
                <w:sz w:val="22"/>
                <w:szCs w:val="22"/>
              </w:rPr>
            </w:r>
          </w:p>
        </w:tc>
        <w:tc>
          <w:tcPr>
            <w:tcW w:w="1437"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kern w:val="0"/>
                <w:sz w:val="22"/>
                <w:szCs w:val="22"/>
              </w:rPr>
              <w:t>%</w:t>
            </w:r>
          </w:p>
        </w:tc>
        <w:tc>
          <w:tcPr>
            <w:tcW w:w="1984"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t>0%</w:t>
            </w:r>
          </w:p>
        </w:tc>
        <w:tc>
          <w:tcPr>
            <w:tcW w:w="1513"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c>
          <w:tcPr>
            <w:tcW w:w="1668" w:type="dxa"/>
            <w:tcBorders>
              <w:left w:val="single" w:sz="8" w:space="0" w:color="000000"/>
              <w:bottom w:val="single" w:sz="8" w:space="0" w:color="000000"/>
              <w:right w:val="single" w:sz="8"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t>100%</w:t>
            </w:r>
          </w:p>
        </w:tc>
      </w:tr>
    </w:tbl>
    <w:p>
      <w:pPr>
        <w:pStyle w:val="Corpodeltesto"/>
        <w:ind w:left="115" w:hanging="0"/>
        <w:rPr>
          <w:sz w:val="22"/>
          <w:szCs w:val="22"/>
        </w:rPr>
      </w:pPr>
      <w:r>
        <w:rPr>
          <w:sz w:val="22"/>
          <w:szCs w:val="22"/>
        </w:rPr>
      </w:r>
    </w:p>
    <w:p>
      <w:pPr>
        <w:pStyle w:val="Corpodeltesto"/>
        <w:ind w:left="115" w:hanging="0"/>
        <w:rPr>
          <w:sz w:val="22"/>
          <w:szCs w:val="22"/>
        </w:rPr>
      </w:pPr>
      <w:r>
        <w:rPr>
          <w:sz w:val="22"/>
          <w:szCs w:val="22"/>
        </w:rPr>
      </w:r>
    </w:p>
    <w:p>
      <w:pPr>
        <w:pStyle w:val="Corpodeltesto"/>
        <w:ind w:left="115" w:hanging="0"/>
        <w:rPr>
          <w:sz w:val="22"/>
          <w:szCs w:val="22"/>
        </w:rPr>
      </w:pPr>
      <w:r>
        <w:rPr/>
        <mc:AlternateContent>
          <mc:Choice Requires="wps">
            <w:drawing>
              <wp:inline distT="0" distB="0" distL="0" distR="0">
                <wp:extent cx="6271260" cy="406400"/>
                <wp:effectExtent l="6350" t="12065" r="8890" b="10160"/>
                <wp:docPr id="21" name="Forma9"/>
                <a:graphic xmlns:a="http://schemas.openxmlformats.org/drawingml/2006/main">
                  <a:graphicData uri="http://schemas.microsoft.com/office/word/2010/wordprocessingShape">
                    <wps:wsp>
                      <wps:cNvSpPr/>
                      <wps:spPr>
                        <a:xfrm>
                          <a:off x="0" y="0"/>
                          <a:ext cx="6271200" cy="406440"/>
                        </a:xfrm>
                        <a:prstGeom prst="rect">
                          <a:avLst/>
                        </a:prstGeom>
                        <a:solidFill>
                          <a:srgbClr val="f1f1f1"/>
                        </a:solidFill>
                        <a:ln w="6480">
                          <a:solidFill>
                            <a:srgbClr val="808080"/>
                          </a:solidFill>
                          <a:miter/>
                        </a:ln>
                      </wps:spPr>
                      <wps:style>
                        <a:lnRef idx="0"/>
                        <a:fillRef idx="0"/>
                        <a:effectRef idx="0"/>
                        <a:fontRef idx="minor"/>
                      </wps:style>
                      <wps:txbx>
                        <w:txbxContent>
                          <w:p>
                            <w:pPr>
                              <w:pStyle w:val="Contenutocornice"/>
                              <w:spacing w:before="16" w:after="0"/>
                              <w:ind w:left="2578" w:right="2576" w:hanging="0"/>
                              <w:jc w:val="center"/>
                              <w:rPr>
                                <w:rFonts w:ascii="Calibri Light" w:hAnsi="Calibri Light"/>
                              </w:rPr>
                            </w:pPr>
                            <w:r>
                              <w:rPr>
                                <w:rFonts w:ascii="Calibri Light" w:hAnsi="Calibri Light"/>
                                <w:color w:val="1F4D78"/>
                              </w:rPr>
                              <w:t>SEZIONE VI</w:t>
                            </w:r>
                          </w:p>
                          <w:p>
                            <w:pPr>
                              <w:pStyle w:val="Contenutocornice"/>
                              <w:spacing w:before="24" w:after="0"/>
                              <w:ind w:left="2578" w:right="2579" w:hanging="0"/>
                              <w:jc w:val="center"/>
                              <w:rPr>
                                <w:rFonts w:ascii="Calibri Light" w:hAnsi="Calibri Light"/>
                              </w:rPr>
                            </w:pPr>
                            <w:r>
                              <w:rPr>
                                <w:rFonts w:ascii="Calibri Light" w:hAnsi="Calibri Light"/>
                                <w:color w:val="1F4D78"/>
                              </w:rPr>
                              <w:t>CAPACITA’ AMMINISTRATIVA E ORGANIZZATIVA</w:t>
                            </w:r>
                          </w:p>
                        </w:txbxContent>
                      </wps:txbx>
                      <wps:bodyPr lIns="0" rIns="0" tIns="0" bIns="0" anchor="t" upright="1">
                        <a:noAutofit/>
                      </wps:bodyPr>
                    </wps:wsp>
                  </a:graphicData>
                </a:graphic>
              </wp:inline>
            </w:drawing>
          </mc:Choice>
          <mc:Fallback>
            <w:pict>
              <v:rect id="shape_0" ID="Forma9" path="m0,0l-2147483645,0l-2147483645,-2147483646l0,-2147483646xe" fillcolor="#f1f1f1" stroked="t" o:allowincell="f" style="position:absolute;margin-left:0pt;margin-top:-33.8pt;width:493.75pt;height:31.95pt;mso-wrap-style:square;v-text-anchor:top;mso-position-vertical:top">
                <v:fill o:detectmouseclick="t" type="solid" color2="#0e0e0e"/>
                <v:stroke color="gray" weight="6480" joinstyle="miter" endcap="flat"/>
                <v:textbox>
                  <w:txbxContent>
                    <w:p>
                      <w:pPr>
                        <w:pStyle w:val="Contenutocornice"/>
                        <w:spacing w:before="16" w:after="0"/>
                        <w:ind w:left="2578" w:right="2576" w:hanging="0"/>
                        <w:jc w:val="center"/>
                        <w:rPr>
                          <w:rFonts w:ascii="Calibri Light" w:hAnsi="Calibri Light"/>
                        </w:rPr>
                      </w:pPr>
                      <w:r>
                        <w:rPr>
                          <w:rFonts w:ascii="Calibri Light" w:hAnsi="Calibri Light"/>
                          <w:color w:val="1F4D78"/>
                        </w:rPr>
                        <w:t>SEZIONE VI</w:t>
                      </w:r>
                    </w:p>
                    <w:p>
                      <w:pPr>
                        <w:pStyle w:val="Contenutocornice"/>
                        <w:spacing w:before="24" w:after="0"/>
                        <w:ind w:left="2578" w:right="2579" w:hanging="0"/>
                        <w:jc w:val="center"/>
                        <w:rPr>
                          <w:rFonts w:ascii="Calibri Light" w:hAnsi="Calibri Light"/>
                        </w:rPr>
                      </w:pPr>
                      <w:r>
                        <w:rPr>
                          <w:rFonts w:ascii="Calibri Light" w:hAnsi="Calibri Light"/>
                          <w:color w:val="1F4D78"/>
                        </w:rPr>
                        <w:t>CAPACITA’ AMMINISTRATIVA E ORGANIZZATIVA</w:t>
                      </w:r>
                    </w:p>
                  </w:txbxContent>
                </v:textbox>
                <w10:wrap type="square"/>
              </v:rect>
            </w:pict>
          </mc:Fallback>
        </mc:AlternateContent>
      </w:r>
    </w:p>
    <w:p>
      <w:pPr>
        <w:pStyle w:val="Corpodeltesto"/>
        <w:spacing w:before="11" w:after="0"/>
        <w:rPr>
          <w:i/>
          <w:i/>
          <w:sz w:val="22"/>
          <w:szCs w:val="22"/>
        </w:rPr>
      </w:pPr>
      <w:r>
        <w:rPr>
          <w:i/>
          <w:sz w:val="22"/>
          <w:szCs w:val="22"/>
        </w:rPr>
      </w:r>
    </w:p>
    <w:p>
      <w:pPr>
        <w:pStyle w:val="ListParagraph"/>
        <w:tabs>
          <w:tab w:val="clear" w:pos="720"/>
          <w:tab w:val="left" w:pos="594" w:leader="none"/>
        </w:tabs>
        <w:spacing w:before="56" w:after="23"/>
        <w:ind w:left="823" w:hanging="0"/>
        <w:rPr>
          <w:i/>
          <w:i/>
        </w:rPr>
      </w:pPr>
      <w:r>
        <w:rPr>
          <w:i/>
          <w:color w:val="1F4D78"/>
        </w:rPr>
        <w:t xml:space="preserve">11. Soggetti responsabili/dedicati all’attuazionedell’Operazione </w:t>
      </w:r>
    </w:p>
    <w:tbl>
      <w:tblPr>
        <w:tblStyle w:val="TableNormal"/>
        <w:tblW w:w="9782" w:type="dxa"/>
        <w:jc w:val="left"/>
        <w:tblInd w:w="140" w:type="dxa"/>
        <w:tblLayout w:type="fixed"/>
        <w:tblCellMar>
          <w:top w:w="0" w:type="dxa"/>
          <w:left w:w="5" w:type="dxa"/>
          <w:bottom w:w="0" w:type="dxa"/>
          <w:right w:w="5" w:type="dxa"/>
        </w:tblCellMar>
        <w:tblLook w:firstRow="1" w:noVBand="0" w:lastRow="1" w:firstColumn="1" w:lastColumn="1" w:noHBand="0" w:val="01e0"/>
      </w:tblPr>
      <w:tblGrid>
        <w:gridCol w:w="2443"/>
        <w:gridCol w:w="2448"/>
        <w:gridCol w:w="2443"/>
        <w:gridCol w:w="2447"/>
      </w:tblGrid>
      <w:tr>
        <w:trPr>
          <w:trHeight w:val="537" w:hRule="atLeast"/>
        </w:trPr>
        <w:tc>
          <w:tcPr>
            <w:tcW w:w="2443"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uppressAutoHyphens w:val="true"/>
              <w:spacing w:lineRule="exact" w:line="265" w:before="0" w:after="0"/>
              <w:ind w:left="408" w:hanging="0"/>
              <w:jc w:val="left"/>
              <w:rPr>
                <w:b/>
                <w:b/>
              </w:rPr>
            </w:pPr>
            <w:r>
              <w:rPr>
                <w:rFonts w:eastAsia="Calibri"/>
                <w:b/>
                <w:color w:val="44536A"/>
                <w:kern w:val="0"/>
                <w:sz w:val="22"/>
                <w:szCs w:val="22"/>
              </w:rPr>
              <w:t>Nome e Cognome</w:t>
            </w:r>
          </w:p>
        </w:tc>
        <w:tc>
          <w:tcPr>
            <w:tcW w:w="2448"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uppressAutoHyphens w:val="true"/>
              <w:spacing w:lineRule="exact" w:line="265" w:before="0" w:after="0"/>
              <w:ind w:left="237" w:right="231" w:hanging="0"/>
              <w:jc w:val="center"/>
              <w:rPr>
                <w:b/>
                <w:b/>
              </w:rPr>
            </w:pPr>
            <w:r>
              <w:rPr>
                <w:rFonts w:eastAsia="Calibri"/>
                <w:b/>
                <w:color w:val="44536A"/>
                <w:kern w:val="0"/>
                <w:sz w:val="22"/>
                <w:szCs w:val="22"/>
              </w:rPr>
              <w:t>Ruolo all’interno del</w:t>
            </w:r>
          </w:p>
          <w:p>
            <w:pPr>
              <w:pStyle w:val="TableParagraph"/>
              <w:widowControl w:val="false"/>
              <w:suppressAutoHyphens w:val="true"/>
              <w:spacing w:lineRule="exact" w:line="252" w:before="0" w:after="0"/>
              <w:ind w:left="239" w:right="231" w:hanging="0"/>
              <w:jc w:val="center"/>
              <w:rPr>
                <w:b/>
                <w:b/>
              </w:rPr>
            </w:pPr>
            <w:r>
              <w:rPr>
                <w:rFonts w:eastAsia="Calibri"/>
                <w:b/>
                <w:color w:val="44536A"/>
                <w:kern w:val="0"/>
                <w:sz w:val="22"/>
                <w:szCs w:val="22"/>
              </w:rPr>
              <w:t>beneficiario</w:t>
            </w:r>
          </w:p>
        </w:tc>
        <w:tc>
          <w:tcPr>
            <w:tcW w:w="2443"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uppressAutoHyphens w:val="true"/>
              <w:spacing w:lineRule="exact" w:line="265" w:before="0" w:after="0"/>
              <w:ind w:left="223" w:right="217" w:hanging="0"/>
              <w:jc w:val="center"/>
              <w:rPr>
                <w:b/>
                <w:b/>
              </w:rPr>
            </w:pPr>
            <w:r>
              <w:rPr>
                <w:rFonts w:eastAsia="Calibri"/>
                <w:b/>
                <w:color w:val="44536A"/>
                <w:kern w:val="0"/>
                <w:sz w:val="22"/>
                <w:szCs w:val="22"/>
              </w:rPr>
              <w:t>Ruolo nell’attuazione</w:t>
            </w:r>
          </w:p>
          <w:p>
            <w:pPr>
              <w:pStyle w:val="TableParagraph"/>
              <w:widowControl w:val="false"/>
              <w:suppressAutoHyphens w:val="true"/>
              <w:spacing w:lineRule="exact" w:line="252" w:before="0" w:after="0"/>
              <w:ind w:left="223" w:right="217" w:hanging="0"/>
              <w:jc w:val="center"/>
              <w:rPr>
                <w:b/>
                <w:b/>
              </w:rPr>
            </w:pPr>
            <w:r>
              <w:rPr>
                <w:rFonts w:eastAsia="Calibri"/>
                <w:b/>
                <w:color w:val="44536A"/>
                <w:kern w:val="0"/>
                <w:sz w:val="22"/>
                <w:szCs w:val="22"/>
              </w:rPr>
              <w:t>dell’Operazione</w:t>
            </w:r>
          </w:p>
        </w:tc>
        <w:tc>
          <w:tcPr>
            <w:tcW w:w="2447" w:type="dxa"/>
            <w:tcBorders>
              <w:top w:val="single" w:sz="4" w:space="0" w:color="000000"/>
              <w:left w:val="single" w:sz="4" w:space="0" w:color="000000"/>
              <w:bottom w:val="single" w:sz="4" w:space="0" w:color="000000"/>
              <w:right w:val="single" w:sz="4" w:space="0" w:color="000000"/>
            </w:tcBorders>
            <w:shd w:color="auto" w:fill="F1F1F1" w:val="clear"/>
          </w:tcPr>
          <w:p>
            <w:pPr>
              <w:pStyle w:val="TableParagraph"/>
              <w:widowControl w:val="false"/>
              <w:suppressAutoHyphens w:val="true"/>
              <w:spacing w:lineRule="exact" w:line="265" w:before="0" w:after="0"/>
              <w:ind w:left="239" w:right="231" w:hanging="0"/>
              <w:jc w:val="center"/>
              <w:rPr>
                <w:b/>
                <w:b/>
              </w:rPr>
            </w:pPr>
            <w:r>
              <w:rPr>
                <w:rFonts w:eastAsia="Calibri"/>
                <w:b/>
                <w:color w:val="44536A"/>
                <w:kern w:val="0"/>
                <w:sz w:val="22"/>
                <w:szCs w:val="22"/>
              </w:rPr>
              <w:t>Esperienze/expertise</w:t>
            </w:r>
          </w:p>
          <w:p>
            <w:pPr>
              <w:pStyle w:val="TableParagraph"/>
              <w:widowControl w:val="false"/>
              <w:suppressAutoHyphens w:val="true"/>
              <w:spacing w:lineRule="exact" w:line="252" w:before="0" w:after="0"/>
              <w:ind w:left="239" w:right="228" w:hanging="0"/>
              <w:jc w:val="center"/>
              <w:rPr>
                <w:b/>
                <w:b/>
              </w:rPr>
            </w:pPr>
            <w:r>
              <w:rPr>
                <w:rFonts w:eastAsia="Calibri"/>
                <w:b/>
                <w:color w:val="44536A"/>
                <w:kern w:val="0"/>
                <w:sz w:val="22"/>
                <w:szCs w:val="22"/>
              </w:rPr>
              <w:t>precedenti</w:t>
            </w:r>
          </w:p>
        </w:tc>
      </w:tr>
      <w:tr>
        <w:trPr>
          <w:trHeight w:val="268" w:hRule="atLeast"/>
        </w:trPr>
        <w:tc>
          <w:tcPr>
            <w:tcW w:w="24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t>Giuseppe Bonaccorso</w:t>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t>Responsabile Servizi Informatici</w:t>
            </w:r>
          </w:p>
        </w:tc>
        <w:tc>
          <w:tcPr>
            <w:tcW w:w="24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t>RUP</w:t>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r>
      <w:tr>
        <w:trPr>
          <w:trHeight w:val="268" w:hRule="atLeast"/>
        </w:trPr>
        <w:tc>
          <w:tcPr>
            <w:tcW w:w="24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c>
          <w:tcPr>
            <w:tcW w:w="24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r>
      <w:tr>
        <w:trPr>
          <w:trHeight w:val="268" w:hRule="atLeast"/>
        </w:trPr>
        <w:tc>
          <w:tcPr>
            <w:tcW w:w="24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cs="Calibri" w:cstheme="minorHAnsi"/>
              </w:rPr>
            </w:pPr>
            <w:r>
              <w:rPr>
                <w:rFonts w:eastAsia="Calibri" w:cs="Calibri" w:cstheme="minorHAnsi"/>
                <w:kern w:val="0"/>
                <w:sz w:val="22"/>
                <w:szCs w:val="22"/>
              </w:rPr>
            </w:r>
          </w:p>
        </w:tc>
        <w:tc>
          <w:tcPr>
            <w:tcW w:w="244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c>
          <w:tcPr>
            <w:tcW w:w="24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c>
          <w:tcPr>
            <w:tcW w:w="244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center"/>
              <w:rPr>
                <w:rFonts w:cs="Calibri" w:cstheme="minorHAnsi"/>
              </w:rPr>
            </w:pPr>
            <w:r>
              <w:rPr>
                <w:rFonts w:eastAsia="Calibri" w:cs="Calibri" w:cstheme="minorHAnsi"/>
                <w:kern w:val="0"/>
                <w:sz w:val="22"/>
                <w:szCs w:val="22"/>
              </w:rPr>
            </w:r>
          </w:p>
        </w:tc>
      </w:tr>
    </w:tbl>
    <w:p>
      <w:pPr>
        <w:pStyle w:val="Corpodeltesto"/>
        <w:spacing w:before="1" w:after="0"/>
        <w:rPr>
          <w:i/>
          <w:i/>
          <w:sz w:val="22"/>
          <w:szCs w:val="22"/>
        </w:rPr>
      </w:pPr>
      <w:r>
        <w:rPr>
          <w:i/>
          <w:sz w:val="22"/>
          <w:szCs w:val="22"/>
        </w:rPr>
      </w:r>
    </w:p>
    <w:p>
      <w:pPr>
        <w:pStyle w:val="Corpodeltesto"/>
        <w:spacing w:before="1" w:after="0"/>
        <w:rPr>
          <w:i/>
          <w:i/>
          <w:sz w:val="22"/>
          <w:szCs w:val="22"/>
        </w:rPr>
      </w:pPr>
      <w:r>
        <w:rPr>
          <w:i/>
          <w:sz w:val="22"/>
          <w:szCs w:val="22"/>
        </w:rPr>
      </w:r>
    </w:p>
    <w:p>
      <w:pPr>
        <w:pStyle w:val="ListParagraph"/>
        <w:tabs>
          <w:tab w:val="clear" w:pos="720"/>
          <w:tab w:val="left" w:pos="594" w:leader="none"/>
        </w:tabs>
        <w:spacing w:lineRule="auto" w:line="252" w:before="0" w:after="2"/>
        <w:ind w:left="824" w:right="327" w:hanging="0"/>
        <w:rPr>
          <w:i/>
          <w:i/>
        </w:rPr>
      </w:pPr>
      <w:r>
        <w:rPr>
          <w:i/>
          <w:color w:val="1F4D78"/>
        </w:rPr>
        <w:t xml:space="preserve">12. Descrizione dell’organizzazione </w:t>
      </w:r>
      <w:r>
        <w:rPr>
          <w:i/>
          <w:color w:val="1F4D78"/>
          <w:spacing w:val="-4"/>
        </w:rPr>
        <w:t xml:space="preserve">e </w:t>
      </w:r>
      <w:r>
        <w:rPr>
          <w:i/>
          <w:color w:val="1F4D78"/>
        </w:rPr>
        <w:t xml:space="preserve">delle procedure adottate dal beneficiario per l’attuazione dell’Operazione </w:t>
      </w:r>
    </w:p>
    <w:p>
      <w:pPr>
        <w:pStyle w:val="Corpodeltesto"/>
        <w:ind w:left="119" w:hanging="0"/>
        <w:rPr>
          <w:sz w:val="22"/>
          <w:szCs w:val="22"/>
        </w:rPr>
      </w:pPr>
      <w:r>
        <w:rPr/>
        <mc:AlternateContent>
          <mc:Choice Requires="wps">
            <w:drawing>
              <wp:anchor behindDoc="0" distT="0" distB="8255" distL="0" distR="9525" simplePos="0" locked="0" layoutInCell="0" allowOverlap="1" relativeHeight="8">
                <wp:simplePos x="0" y="0"/>
                <wp:positionH relativeFrom="column">
                  <wp:posOffset>104775</wp:posOffset>
                </wp:positionH>
                <wp:positionV relativeFrom="paragraph">
                  <wp:posOffset>13335</wp:posOffset>
                </wp:positionV>
                <wp:extent cx="6315075" cy="4963795"/>
                <wp:effectExtent l="5715" t="5715" r="4445" b="4445"/>
                <wp:wrapNone/>
                <wp:docPr id="23" name="Text Box 37"/>
                <a:graphic xmlns:a="http://schemas.openxmlformats.org/drawingml/2006/main">
                  <a:graphicData uri="http://schemas.microsoft.com/office/word/2010/wordprocessingShape">
                    <wps:wsp>
                      <wps:cNvSpPr/>
                      <wps:spPr>
                        <a:xfrm>
                          <a:off x="0" y="0"/>
                          <a:ext cx="6315120" cy="496368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spacing w:lineRule="atLeast" w:line="248"/>
                              <w:jc w:val="both"/>
                              <w:rPr>
                                <w:shd w:fill="FFFF00" w:val="clear"/>
                              </w:rPr>
                            </w:pPr>
                            <w:r>
                              <w:rPr>
                                <w:color w:val="000000"/>
                                <w:shd w:fill="FFFF00" w:val="clear"/>
                              </w:rPr>
                              <w:t>Stesura di un progetto tecnico dove saranno descritte tutte le attività da eseguire come da linee guida AGID della formazione, gestione e conservazione del documento informatico, allegato 3 sulla “certificazione di processo”, tenendo conto che la digitalizzazione è solo ai fini della consultazione e quindi non della dematerializzazione. Il progetto dovrà essere preventivamente autorizzato dalla Soprintendenza Archivistica della Sicilia – Archivio di Stato Palermo.</w:t>
                            </w:r>
                          </w:p>
                          <w:p>
                            <w:pPr>
                              <w:pStyle w:val="Contenutocornice"/>
                              <w:spacing w:lineRule="atLeast" w:line="248"/>
                              <w:jc w:val="both"/>
                              <w:rPr>
                                <w:shd w:fill="FFFF00" w:val="clear"/>
                              </w:rPr>
                            </w:pPr>
                            <w:r>
                              <w:rPr>
                                <w:color w:val="000000"/>
                                <w:shd w:fill="FFFF00" w:val="clear"/>
                              </w:rPr>
                              <w:t xml:space="preserve">Si procederà con la digitalizzazione di n. 13.393 facciate di documenti (risalenti al periodo 1839 in poi) creando un file per ciascun documento a cui si assoceranno due metadati da valutare insieme alla Soprintendenza archivistica della Sicilia – Archivio di Stato Palermo  </w:t>
                            </w:r>
                          </w:p>
                          <w:p>
                            <w:pPr>
                              <w:pStyle w:val="Contenutocornice"/>
                              <w:spacing w:lineRule="atLeast" w:line="248"/>
                              <w:jc w:val="both"/>
                              <w:rPr>
                                <w:shd w:fill="FFFF00" w:val="clear"/>
                              </w:rPr>
                            </w:pPr>
                            <w:r>
                              <w:rPr>
                                <w:color w:val="000000"/>
                                <w:shd w:fill="FFFF00" w:val="clear"/>
                              </w:rPr>
                              <w:t xml:space="preserve">I documenti digitalizzati saranno inseriti su un software di gestione documentale in cloud e inviati in conservazione sostitutiva. </w:t>
                            </w:r>
                          </w:p>
                          <w:p>
                            <w:pPr>
                              <w:pStyle w:val="Contenutocornice"/>
                              <w:spacing w:lineRule="atLeast" w:line="248"/>
                              <w:jc w:val="both"/>
                              <w:rPr>
                                <w:shd w:fill="FFFF00" w:val="clear"/>
                              </w:rPr>
                            </w:pPr>
                            <w:r>
                              <w:rPr>
                                <w:color w:val="000000"/>
                                <w:shd w:fill="FFFF00" w:val="clear"/>
                              </w:rPr>
                              <w:t>I documenti digitalizzati saranno messi a disposizione degli studiosi o degli utenti tramite portale dell’Ente</w:t>
                            </w:r>
                          </w:p>
                          <w:p>
                            <w:pPr>
                              <w:pStyle w:val="Contenutocornice"/>
                              <w:spacing w:lineRule="atLeast" w:line="248"/>
                              <w:jc w:val="both"/>
                              <w:rPr>
                                <w:shd w:fill="FFFF00" w:val="clear"/>
                              </w:rPr>
                            </w:pPr>
                            <w:r>
                              <w:rPr>
                                <w:color w:val="000000"/>
                                <w:shd w:fill="FFFF00" w:val="clear"/>
                              </w:rPr>
                            </w:r>
                          </w:p>
                          <w:p>
                            <w:pPr>
                              <w:pStyle w:val="Contenutocornice"/>
                              <w:spacing w:lineRule="atLeast" w:line="248"/>
                              <w:jc w:val="both"/>
                              <w:rPr>
                                <w:shd w:fill="FFFF00" w:val="clear"/>
                              </w:rPr>
                            </w:pPr>
                            <w:r>
                              <w:rPr>
                                <w:color w:val="000000"/>
                              </w:rPr>
                            </w:r>
                          </w:p>
                        </w:txbxContent>
                      </wps:txbx>
                      <wps:bodyPr anchor="t" upright="1">
                        <a:noAutofit/>
                      </wps:bodyPr>
                    </wps:wsp>
                  </a:graphicData>
                </a:graphic>
              </wp:anchor>
            </w:drawing>
          </mc:Choice>
          <mc:Fallback>
            <w:pict>
              <v:rect id="shape_0" ID="Text Box 37" path="m0,0l-2147483645,0l-2147483645,-2147483646l0,-2147483646xe" fillcolor="white" stroked="t" o:allowincell="f" style="position:absolute;margin-left:8.25pt;margin-top:1.05pt;width:497.2pt;height:390.8pt;mso-wrap-style:square;v-text-anchor:top">
                <v:fill o:detectmouseclick="t" type="solid" color2="black"/>
                <v:stroke color="black" weight="9360" joinstyle="miter" endcap="flat"/>
                <v:textbox>
                  <w:txbxContent>
                    <w:p>
                      <w:pPr>
                        <w:pStyle w:val="Contenutocornice"/>
                        <w:spacing w:lineRule="atLeast" w:line="248"/>
                        <w:jc w:val="both"/>
                        <w:rPr>
                          <w:shd w:fill="FFFF00" w:val="clear"/>
                        </w:rPr>
                      </w:pPr>
                      <w:r>
                        <w:rPr>
                          <w:color w:val="000000"/>
                          <w:shd w:fill="FFFF00" w:val="clear"/>
                        </w:rPr>
                        <w:t>Stesura di un progetto tecnico dove saranno descritte tutte le attività da eseguire come da linee guida AGID della formazione, gestione e conservazione del documento informatico, allegato 3 sulla “certificazione di processo”, tenendo conto che la digitalizzazione è solo ai fini della consultazione e quindi non della dematerializzazione. Il progetto dovrà essere preventivamente autorizzato dalla Soprintendenza Archivistica della Sicilia – Archivio di Stato Palermo.</w:t>
                      </w:r>
                    </w:p>
                    <w:p>
                      <w:pPr>
                        <w:pStyle w:val="Contenutocornice"/>
                        <w:spacing w:lineRule="atLeast" w:line="248"/>
                        <w:jc w:val="both"/>
                        <w:rPr>
                          <w:shd w:fill="FFFF00" w:val="clear"/>
                        </w:rPr>
                      </w:pPr>
                      <w:r>
                        <w:rPr>
                          <w:color w:val="000000"/>
                          <w:shd w:fill="FFFF00" w:val="clear"/>
                        </w:rPr>
                        <w:t xml:space="preserve">Si procederà con la digitalizzazione di n. 13.393 facciate di documenti (risalenti al periodo 1839 in poi) creando un file per ciascun documento a cui si assoceranno due metadati da valutare insieme alla Soprintendenza archivistica della Sicilia – Archivio di Stato Palermo  </w:t>
                      </w:r>
                    </w:p>
                    <w:p>
                      <w:pPr>
                        <w:pStyle w:val="Contenutocornice"/>
                        <w:spacing w:lineRule="atLeast" w:line="248"/>
                        <w:jc w:val="both"/>
                        <w:rPr>
                          <w:shd w:fill="FFFF00" w:val="clear"/>
                        </w:rPr>
                      </w:pPr>
                      <w:r>
                        <w:rPr>
                          <w:color w:val="000000"/>
                          <w:shd w:fill="FFFF00" w:val="clear"/>
                        </w:rPr>
                        <w:t xml:space="preserve">I documenti digitalizzati saranno inseriti su un software di gestione documentale in cloud e inviati in conservazione sostitutiva. </w:t>
                      </w:r>
                    </w:p>
                    <w:p>
                      <w:pPr>
                        <w:pStyle w:val="Contenutocornice"/>
                        <w:spacing w:lineRule="atLeast" w:line="248"/>
                        <w:jc w:val="both"/>
                        <w:rPr>
                          <w:shd w:fill="FFFF00" w:val="clear"/>
                        </w:rPr>
                      </w:pPr>
                      <w:r>
                        <w:rPr>
                          <w:color w:val="000000"/>
                          <w:shd w:fill="FFFF00" w:val="clear"/>
                        </w:rPr>
                        <w:t>I documenti digitalizzati saranno messi a disposizione degli studiosi o degli utenti tramite portale dell’Ente</w:t>
                      </w:r>
                    </w:p>
                    <w:p>
                      <w:pPr>
                        <w:pStyle w:val="Contenutocornice"/>
                        <w:spacing w:lineRule="atLeast" w:line="248"/>
                        <w:jc w:val="both"/>
                        <w:rPr>
                          <w:shd w:fill="FFFF00" w:val="clear"/>
                        </w:rPr>
                      </w:pPr>
                      <w:r>
                        <w:rPr>
                          <w:color w:val="000000"/>
                          <w:shd w:fill="FFFF00" w:val="clear"/>
                        </w:rPr>
                      </w:r>
                    </w:p>
                    <w:p>
                      <w:pPr>
                        <w:pStyle w:val="Contenutocornice"/>
                        <w:spacing w:lineRule="atLeast" w:line="248"/>
                        <w:jc w:val="both"/>
                        <w:rPr>
                          <w:shd w:fill="FFFF00" w:val="clear"/>
                        </w:rPr>
                      </w:pPr>
                      <w:r>
                        <w:rPr>
                          <w:color w:val="000000"/>
                        </w:rPr>
                      </w:r>
                    </w:p>
                  </w:txbxContent>
                </v:textbox>
                <w10:wrap type="none"/>
              </v:rect>
            </w:pict>
          </mc:Fallback>
        </mc:AlternateContent>
      </w:r>
    </w:p>
    <w:sectPr>
      <w:headerReference w:type="default" r:id="rId7"/>
      <w:footerReference w:type="default" r:id="rId8"/>
      <w:type w:val="nextPage"/>
      <w:pgSz w:w="11906" w:h="16838"/>
      <w:pgMar w:left="900" w:right="760" w:gutter="0" w:header="0" w:top="1360" w:footer="691" w:bottom="880"/>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Calibri Light">
    <w:charset w:val="01"/>
    <w:family w:val="roman"/>
    <w:pitch w:val="default"/>
  </w:font>
  <w:font w:name="Tahoma">
    <w:charset w:val="01"/>
    <w:family w:val="roman"/>
    <w:pitch w:val="default"/>
  </w:font>
  <w:font w:name="Times New Roman">
    <w:charset w:val="01"/>
    <w:family w:val="roman"/>
    <w:pitch w:val="default"/>
  </w:font>
  <w:font w:name="Liberation Sans">
    <w:altName w:val="Arial"/>
    <w:charset w:val="01"/>
    <w:family w:val="roman"/>
    <w:pitch w:val="default"/>
  </w:font>
  <w:font w:name="Cambria">
    <w:charset w:val="01"/>
    <w:family w:val="roman"/>
    <w:pitch w:val="default"/>
  </w:font>
  <w:font w:name="Times New Roman">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4106052"/>
    </w:sdtPr>
    <w:sdtContent>
      <w:p>
        <w:pPr>
          <w:pStyle w:val="Pidipagina"/>
          <w:jc w:val="right"/>
          <w:rPr/>
        </w:pPr>
        <w:r>
          <w:rPr/>
          <w:fldChar w:fldCharType="begin"/>
        </w:r>
        <w:r>
          <w:rPr/>
          <w:instrText xml:space="preserve"> PAGE </w:instrText>
        </w:r>
        <w:r>
          <w:rPr/>
          <w:fldChar w:fldCharType="separate"/>
        </w:r>
        <w:r>
          <w:rPr/>
          <w:t>1</w:t>
        </w:r>
        <w:r>
          <w:rPr/>
          <w:fldChar w:fldCharType="end"/>
        </w:r>
      </w:p>
      <w:p>
        <w:pPr>
          <w:pStyle w:val="Corpodeltesto"/>
          <w:spacing w:lineRule="atLeast" w:line="0"/>
          <w:rPr>
            <w:sz w:val="2"/>
          </w:rPr>
        </w:pPr>
        <w:r>
          <w:rPr>
            <w:sz w:val="2"/>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decimal"/>
      <w:lvlText w:val="%1"/>
      <w:lvlJc w:val="left"/>
      <w:pPr>
        <w:tabs>
          <w:tab w:val="num" w:pos="0"/>
        </w:tabs>
        <w:ind w:left="800" w:hanging="568"/>
      </w:pPr>
      <w:rPr>
        <w:lang w:val="it-IT" w:eastAsia="it-IT" w:bidi="it-IT"/>
      </w:rPr>
    </w:lvl>
    <w:lvl w:ilvl="1">
      <w:start w:val="1"/>
      <w:numFmt w:val="upperLetter"/>
      <w:lvlText w:val="%1.%2"/>
      <w:lvlJc w:val="left"/>
      <w:pPr>
        <w:tabs>
          <w:tab w:val="num" w:pos="0"/>
        </w:tabs>
        <w:ind w:left="800" w:hanging="568"/>
      </w:pPr>
      <w:rPr>
        <w:lang w:val="it-IT" w:eastAsia="it-IT" w:bidi="it-IT"/>
      </w:rPr>
    </w:lvl>
    <w:lvl w:ilvl="2">
      <w:start w:val="1"/>
      <w:numFmt w:val="decimal"/>
      <w:lvlText w:val="%1.%2.%3."/>
      <w:lvlJc w:val="left"/>
      <w:pPr>
        <w:tabs>
          <w:tab w:val="num" w:pos="0"/>
        </w:tabs>
        <w:ind w:left="800" w:hanging="568"/>
      </w:pPr>
      <w:rPr>
        <w:sz w:val="22"/>
        <w:spacing w:val="-2"/>
        <w:i/>
        <w:szCs w:val="22"/>
        <w:w w:val="100"/>
        <w:rFonts w:ascii="Calibri" w:hAnsi="Calibri" w:eastAsia="Calibri" w:cs="Calibri"/>
        <w:color w:val="1F4E79"/>
        <w:lang w:val="it-IT" w:eastAsia="it-IT" w:bidi="it-IT"/>
      </w:rPr>
    </w:lvl>
    <w:lvl w:ilvl="3">
      <w:start w:val="0"/>
      <w:numFmt w:val="bullet"/>
      <w:lvlText w:val=""/>
      <w:lvlJc w:val="left"/>
      <w:pPr>
        <w:tabs>
          <w:tab w:val="num" w:pos="0"/>
        </w:tabs>
        <w:ind w:left="3633" w:hanging="568"/>
      </w:pPr>
      <w:rPr>
        <w:rFonts w:ascii="Symbol" w:hAnsi="Symbol" w:cs="Symbol" w:hint="default"/>
        <w:lang w:val="it-IT" w:eastAsia="it-IT" w:bidi="it-IT"/>
      </w:rPr>
    </w:lvl>
    <w:lvl w:ilvl="4">
      <w:start w:val="0"/>
      <w:numFmt w:val="bullet"/>
      <w:lvlText w:val=""/>
      <w:lvlJc w:val="left"/>
      <w:pPr>
        <w:tabs>
          <w:tab w:val="num" w:pos="0"/>
        </w:tabs>
        <w:ind w:left="4578" w:hanging="568"/>
      </w:pPr>
      <w:rPr>
        <w:rFonts w:ascii="Symbol" w:hAnsi="Symbol" w:cs="Symbol" w:hint="default"/>
        <w:lang w:val="it-IT" w:eastAsia="it-IT" w:bidi="it-IT"/>
      </w:rPr>
    </w:lvl>
    <w:lvl w:ilvl="5">
      <w:start w:val="0"/>
      <w:numFmt w:val="bullet"/>
      <w:lvlText w:val=""/>
      <w:lvlJc w:val="left"/>
      <w:pPr>
        <w:tabs>
          <w:tab w:val="num" w:pos="0"/>
        </w:tabs>
        <w:ind w:left="5523" w:hanging="568"/>
      </w:pPr>
      <w:rPr>
        <w:rFonts w:ascii="Symbol" w:hAnsi="Symbol" w:cs="Symbol" w:hint="default"/>
        <w:lang w:val="it-IT" w:eastAsia="it-IT" w:bidi="it-IT"/>
      </w:rPr>
    </w:lvl>
    <w:lvl w:ilvl="6">
      <w:start w:val="0"/>
      <w:numFmt w:val="bullet"/>
      <w:lvlText w:val=""/>
      <w:lvlJc w:val="left"/>
      <w:pPr>
        <w:tabs>
          <w:tab w:val="num" w:pos="0"/>
        </w:tabs>
        <w:ind w:left="6467" w:hanging="568"/>
      </w:pPr>
      <w:rPr>
        <w:rFonts w:ascii="Symbol" w:hAnsi="Symbol" w:cs="Symbol" w:hint="default"/>
        <w:lang w:val="it-IT" w:eastAsia="it-IT" w:bidi="it-IT"/>
      </w:rPr>
    </w:lvl>
    <w:lvl w:ilvl="7">
      <w:start w:val="0"/>
      <w:numFmt w:val="bullet"/>
      <w:lvlText w:val=""/>
      <w:lvlJc w:val="left"/>
      <w:pPr>
        <w:tabs>
          <w:tab w:val="num" w:pos="0"/>
        </w:tabs>
        <w:ind w:left="7412" w:hanging="568"/>
      </w:pPr>
      <w:rPr>
        <w:rFonts w:ascii="Symbol" w:hAnsi="Symbol" w:cs="Symbol" w:hint="default"/>
        <w:lang w:val="it-IT" w:eastAsia="it-IT" w:bidi="it-IT"/>
      </w:rPr>
    </w:lvl>
    <w:lvl w:ilvl="8">
      <w:start w:val="0"/>
      <w:numFmt w:val="bullet"/>
      <w:lvlText w:val=""/>
      <w:lvlJc w:val="left"/>
      <w:pPr>
        <w:tabs>
          <w:tab w:val="num" w:pos="0"/>
        </w:tabs>
        <w:ind w:left="8357" w:hanging="568"/>
      </w:pPr>
      <w:rPr>
        <w:rFonts w:ascii="Symbol" w:hAnsi="Symbol" w:cs="Symbol" w:hint="default"/>
        <w:lang w:val="it-IT" w:eastAsia="it-IT" w:bidi="it-IT"/>
      </w:rPr>
    </w:lvl>
  </w:abstractNum>
  <w:abstractNum w:abstractNumId="2">
    <w:lvl w:ilvl="0">
      <w:start w:val="1"/>
      <w:numFmt w:val="decimal"/>
      <w:lvlText w:val="%1."/>
      <w:lvlJc w:val="left"/>
      <w:pPr>
        <w:tabs>
          <w:tab w:val="num" w:pos="0"/>
        </w:tabs>
        <w:ind w:left="400" w:hanging="168"/>
      </w:pPr>
      <w:rPr>
        <w:sz w:val="20"/>
        <w:i/>
        <w:szCs w:val="20"/>
        <w:w w:val="100"/>
        <w:rFonts w:ascii="Calibri Light" w:hAnsi="Calibri Light" w:eastAsia="Calibri Light" w:cs="Calibri Light"/>
        <w:color w:val="1F4D78"/>
        <w:lang w:val="it-IT" w:eastAsia="it-IT" w:bidi="it-IT"/>
      </w:rPr>
    </w:lvl>
    <w:lvl w:ilvl="1">
      <w:start w:val="0"/>
      <w:numFmt w:val="bullet"/>
      <w:lvlText w:val=""/>
      <w:lvlJc w:val="left"/>
      <w:pPr>
        <w:tabs>
          <w:tab w:val="num" w:pos="0"/>
        </w:tabs>
        <w:ind w:left="1384" w:hanging="168"/>
      </w:pPr>
      <w:rPr>
        <w:rFonts w:ascii="Symbol" w:hAnsi="Symbol" w:cs="Symbol" w:hint="default"/>
        <w:lang w:val="it-IT" w:eastAsia="it-IT" w:bidi="it-IT"/>
      </w:rPr>
    </w:lvl>
    <w:lvl w:ilvl="2">
      <w:start w:val="0"/>
      <w:numFmt w:val="bullet"/>
      <w:lvlText w:val=""/>
      <w:lvlJc w:val="left"/>
      <w:pPr>
        <w:tabs>
          <w:tab w:val="num" w:pos="0"/>
        </w:tabs>
        <w:ind w:left="2369" w:hanging="168"/>
      </w:pPr>
      <w:rPr>
        <w:rFonts w:ascii="Symbol" w:hAnsi="Symbol" w:cs="Symbol" w:hint="default"/>
        <w:lang w:val="it-IT" w:eastAsia="it-IT" w:bidi="it-IT"/>
      </w:rPr>
    </w:lvl>
    <w:lvl w:ilvl="3">
      <w:start w:val="0"/>
      <w:numFmt w:val="bullet"/>
      <w:lvlText w:val=""/>
      <w:lvlJc w:val="left"/>
      <w:pPr>
        <w:tabs>
          <w:tab w:val="num" w:pos="0"/>
        </w:tabs>
        <w:ind w:left="3353" w:hanging="168"/>
      </w:pPr>
      <w:rPr>
        <w:rFonts w:ascii="Symbol" w:hAnsi="Symbol" w:cs="Symbol" w:hint="default"/>
        <w:lang w:val="it-IT" w:eastAsia="it-IT" w:bidi="it-IT"/>
      </w:rPr>
    </w:lvl>
    <w:lvl w:ilvl="4">
      <w:start w:val="0"/>
      <w:numFmt w:val="bullet"/>
      <w:lvlText w:val=""/>
      <w:lvlJc w:val="left"/>
      <w:pPr>
        <w:tabs>
          <w:tab w:val="num" w:pos="0"/>
        </w:tabs>
        <w:ind w:left="4338" w:hanging="168"/>
      </w:pPr>
      <w:rPr>
        <w:rFonts w:ascii="Symbol" w:hAnsi="Symbol" w:cs="Symbol" w:hint="default"/>
        <w:lang w:val="it-IT" w:eastAsia="it-IT" w:bidi="it-IT"/>
      </w:rPr>
    </w:lvl>
    <w:lvl w:ilvl="5">
      <w:start w:val="0"/>
      <w:numFmt w:val="bullet"/>
      <w:lvlText w:val=""/>
      <w:lvlJc w:val="left"/>
      <w:pPr>
        <w:tabs>
          <w:tab w:val="num" w:pos="0"/>
        </w:tabs>
        <w:ind w:left="5323" w:hanging="168"/>
      </w:pPr>
      <w:rPr>
        <w:rFonts w:ascii="Symbol" w:hAnsi="Symbol" w:cs="Symbol" w:hint="default"/>
        <w:lang w:val="it-IT" w:eastAsia="it-IT" w:bidi="it-IT"/>
      </w:rPr>
    </w:lvl>
    <w:lvl w:ilvl="6">
      <w:start w:val="0"/>
      <w:numFmt w:val="bullet"/>
      <w:lvlText w:val=""/>
      <w:lvlJc w:val="left"/>
      <w:pPr>
        <w:tabs>
          <w:tab w:val="num" w:pos="0"/>
        </w:tabs>
        <w:ind w:left="6307" w:hanging="168"/>
      </w:pPr>
      <w:rPr>
        <w:rFonts w:ascii="Symbol" w:hAnsi="Symbol" w:cs="Symbol" w:hint="default"/>
        <w:lang w:val="it-IT" w:eastAsia="it-IT" w:bidi="it-IT"/>
      </w:rPr>
    </w:lvl>
    <w:lvl w:ilvl="7">
      <w:start w:val="0"/>
      <w:numFmt w:val="bullet"/>
      <w:lvlText w:val=""/>
      <w:lvlJc w:val="left"/>
      <w:pPr>
        <w:tabs>
          <w:tab w:val="num" w:pos="0"/>
        </w:tabs>
        <w:ind w:left="7292" w:hanging="168"/>
      </w:pPr>
      <w:rPr>
        <w:rFonts w:ascii="Symbol" w:hAnsi="Symbol" w:cs="Symbol" w:hint="default"/>
        <w:lang w:val="it-IT" w:eastAsia="it-IT" w:bidi="it-IT"/>
      </w:rPr>
    </w:lvl>
    <w:lvl w:ilvl="8">
      <w:start w:val="0"/>
      <w:numFmt w:val="bullet"/>
      <w:lvlText w:val=""/>
      <w:lvlJc w:val="left"/>
      <w:pPr>
        <w:tabs>
          <w:tab w:val="num" w:pos="0"/>
        </w:tabs>
        <w:ind w:left="8277" w:hanging="168"/>
      </w:pPr>
      <w:rPr>
        <w:rFonts w:ascii="Symbol" w:hAnsi="Symbol" w:cs="Symbol" w:hint="default"/>
        <w:lang w:val="it-IT" w:eastAsia="it-IT" w:bidi="it-IT"/>
      </w:rPr>
    </w:lvl>
  </w:abstractNum>
  <w:abstractNum w:abstractNumId="3">
    <w:lvl w:ilvl="0">
      <w:start w:val="6"/>
      <w:numFmt w:val="decimal"/>
      <w:lvlText w:val="%1."/>
      <w:lvlJc w:val="left"/>
      <w:pPr>
        <w:tabs>
          <w:tab w:val="num" w:pos="0"/>
        </w:tabs>
        <w:ind w:left="592" w:hanging="360"/>
      </w:pPr>
      <w:rPr>
        <w:color w:val="1F4D78"/>
      </w:rPr>
    </w:lvl>
    <w:lvl w:ilvl="1">
      <w:start w:val="1"/>
      <w:numFmt w:val="lowerLetter"/>
      <w:lvlText w:val="%2."/>
      <w:lvlJc w:val="left"/>
      <w:pPr>
        <w:tabs>
          <w:tab w:val="num" w:pos="0"/>
        </w:tabs>
        <w:ind w:left="1312" w:hanging="360"/>
      </w:pPr>
      <w:rPr/>
    </w:lvl>
    <w:lvl w:ilvl="2">
      <w:start w:val="1"/>
      <w:numFmt w:val="lowerRoman"/>
      <w:lvlText w:val="%3."/>
      <w:lvlJc w:val="right"/>
      <w:pPr>
        <w:tabs>
          <w:tab w:val="num" w:pos="0"/>
        </w:tabs>
        <w:ind w:left="2032" w:hanging="180"/>
      </w:pPr>
      <w:rPr/>
    </w:lvl>
    <w:lvl w:ilvl="3">
      <w:start w:val="1"/>
      <w:numFmt w:val="decimal"/>
      <w:lvlText w:val="%4."/>
      <w:lvlJc w:val="left"/>
      <w:pPr>
        <w:tabs>
          <w:tab w:val="num" w:pos="0"/>
        </w:tabs>
        <w:ind w:left="2752" w:hanging="360"/>
      </w:pPr>
      <w:rPr/>
    </w:lvl>
    <w:lvl w:ilvl="4">
      <w:start w:val="1"/>
      <w:numFmt w:val="lowerLetter"/>
      <w:lvlText w:val="%5."/>
      <w:lvlJc w:val="left"/>
      <w:pPr>
        <w:tabs>
          <w:tab w:val="num" w:pos="0"/>
        </w:tabs>
        <w:ind w:left="3472" w:hanging="360"/>
      </w:pPr>
      <w:rPr/>
    </w:lvl>
    <w:lvl w:ilvl="5">
      <w:start w:val="1"/>
      <w:numFmt w:val="lowerRoman"/>
      <w:lvlText w:val="%6."/>
      <w:lvlJc w:val="right"/>
      <w:pPr>
        <w:tabs>
          <w:tab w:val="num" w:pos="0"/>
        </w:tabs>
        <w:ind w:left="4192" w:hanging="180"/>
      </w:pPr>
      <w:rPr/>
    </w:lvl>
    <w:lvl w:ilvl="6">
      <w:start w:val="1"/>
      <w:numFmt w:val="decimal"/>
      <w:lvlText w:val="%7."/>
      <w:lvlJc w:val="left"/>
      <w:pPr>
        <w:tabs>
          <w:tab w:val="num" w:pos="0"/>
        </w:tabs>
        <w:ind w:left="4912" w:hanging="360"/>
      </w:pPr>
      <w:rPr/>
    </w:lvl>
    <w:lvl w:ilvl="7">
      <w:start w:val="1"/>
      <w:numFmt w:val="lowerLetter"/>
      <w:lvlText w:val="%8."/>
      <w:lvlJc w:val="left"/>
      <w:pPr>
        <w:tabs>
          <w:tab w:val="num" w:pos="0"/>
        </w:tabs>
        <w:ind w:left="5632" w:hanging="360"/>
      </w:pPr>
      <w:rPr/>
    </w:lvl>
    <w:lvl w:ilvl="8">
      <w:start w:val="1"/>
      <w:numFmt w:val="lowerRoman"/>
      <w:lvlText w:val="%9."/>
      <w:lvlJc w:val="right"/>
      <w:pPr>
        <w:tabs>
          <w:tab w:val="num" w:pos="0"/>
        </w:tabs>
        <w:ind w:left="6352" w:hanging="180"/>
      </w:pPr>
      <w:rPr/>
    </w:lvl>
  </w:abstractNum>
  <w:abstractNum w:abstractNumId="4">
    <w:lvl w:ilvl="0">
      <w:start w:val="1"/>
      <w:numFmt w:val="decimal"/>
      <w:lvlText w:val="%1."/>
      <w:lvlJc w:val="left"/>
      <w:pPr>
        <w:tabs>
          <w:tab w:val="num" w:pos="0"/>
        </w:tabs>
        <w:ind w:left="720" w:hanging="360"/>
      </w:pPr>
      <w:rPr>
        <w:rFonts w:ascii="Calibri" w:hAnsi="Calibri" w:eastAsia="Calibri" w:cs="Calibri" w:asciiTheme="minorHAnsi" w:cstheme="minorHAnsi" w:eastAsiaTheme="minorHAnsi" w:hAnsiTheme="minorHAnsi"/>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593" w:hanging="361"/>
      </w:pPr>
      <w:rPr>
        <w:sz w:val="22"/>
        <w:spacing w:val="-27"/>
        <w:szCs w:val="22"/>
        <w:w w:val="100"/>
        <w:rFonts w:ascii="Calibri" w:hAnsi="Calibri" w:eastAsia="Calibri" w:cs="Calibri"/>
        <w:lang w:val="it-IT" w:eastAsia="it-IT" w:bidi="it-IT"/>
      </w:rPr>
    </w:lvl>
    <w:lvl w:ilvl="1">
      <w:start w:val="0"/>
      <w:numFmt w:val="bullet"/>
      <w:lvlText w:val=""/>
      <w:lvlJc w:val="left"/>
      <w:pPr>
        <w:tabs>
          <w:tab w:val="num" w:pos="0"/>
        </w:tabs>
        <w:ind w:left="1564" w:hanging="361"/>
      </w:pPr>
      <w:rPr>
        <w:rFonts w:ascii="Symbol" w:hAnsi="Symbol" w:cs="Symbol" w:hint="default"/>
        <w:lang w:val="it-IT" w:eastAsia="it-IT" w:bidi="it-IT"/>
      </w:rPr>
    </w:lvl>
    <w:lvl w:ilvl="2">
      <w:start w:val="0"/>
      <w:numFmt w:val="bullet"/>
      <w:lvlText w:val=""/>
      <w:lvlJc w:val="left"/>
      <w:pPr>
        <w:tabs>
          <w:tab w:val="num" w:pos="0"/>
        </w:tabs>
        <w:ind w:left="2529" w:hanging="361"/>
      </w:pPr>
      <w:rPr>
        <w:rFonts w:ascii="Symbol" w:hAnsi="Symbol" w:cs="Symbol" w:hint="default"/>
        <w:lang w:val="it-IT" w:eastAsia="it-IT" w:bidi="it-IT"/>
      </w:rPr>
    </w:lvl>
    <w:lvl w:ilvl="3">
      <w:start w:val="0"/>
      <w:numFmt w:val="bullet"/>
      <w:lvlText w:val=""/>
      <w:lvlJc w:val="left"/>
      <w:pPr>
        <w:tabs>
          <w:tab w:val="num" w:pos="0"/>
        </w:tabs>
        <w:ind w:left="3493" w:hanging="361"/>
      </w:pPr>
      <w:rPr>
        <w:rFonts w:ascii="Symbol" w:hAnsi="Symbol" w:cs="Symbol" w:hint="default"/>
        <w:lang w:val="it-IT" w:eastAsia="it-IT" w:bidi="it-IT"/>
      </w:rPr>
    </w:lvl>
    <w:lvl w:ilvl="4">
      <w:start w:val="0"/>
      <w:numFmt w:val="bullet"/>
      <w:lvlText w:val=""/>
      <w:lvlJc w:val="left"/>
      <w:pPr>
        <w:tabs>
          <w:tab w:val="num" w:pos="0"/>
        </w:tabs>
        <w:ind w:left="4458" w:hanging="361"/>
      </w:pPr>
      <w:rPr>
        <w:rFonts w:ascii="Symbol" w:hAnsi="Symbol" w:cs="Symbol" w:hint="default"/>
        <w:lang w:val="it-IT" w:eastAsia="it-IT" w:bidi="it-IT"/>
      </w:rPr>
    </w:lvl>
    <w:lvl w:ilvl="5">
      <w:start w:val="0"/>
      <w:numFmt w:val="bullet"/>
      <w:lvlText w:val=""/>
      <w:lvlJc w:val="left"/>
      <w:pPr>
        <w:tabs>
          <w:tab w:val="num" w:pos="0"/>
        </w:tabs>
        <w:ind w:left="5423" w:hanging="361"/>
      </w:pPr>
      <w:rPr>
        <w:rFonts w:ascii="Symbol" w:hAnsi="Symbol" w:cs="Symbol" w:hint="default"/>
        <w:lang w:val="it-IT" w:eastAsia="it-IT" w:bidi="it-IT"/>
      </w:rPr>
    </w:lvl>
    <w:lvl w:ilvl="6">
      <w:start w:val="0"/>
      <w:numFmt w:val="bullet"/>
      <w:lvlText w:val=""/>
      <w:lvlJc w:val="left"/>
      <w:pPr>
        <w:tabs>
          <w:tab w:val="num" w:pos="0"/>
        </w:tabs>
        <w:ind w:left="6387" w:hanging="361"/>
      </w:pPr>
      <w:rPr>
        <w:rFonts w:ascii="Symbol" w:hAnsi="Symbol" w:cs="Symbol" w:hint="default"/>
        <w:lang w:val="it-IT" w:eastAsia="it-IT" w:bidi="it-IT"/>
      </w:rPr>
    </w:lvl>
    <w:lvl w:ilvl="7">
      <w:start w:val="0"/>
      <w:numFmt w:val="bullet"/>
      <w:lvlText w:val=""/>
      <w:lvlJc w:val="left"/>
      <w:pPr>
        <w:tabs>
          <w:tab w:val="num" w:pos="0"/>
        </w:tabs>
        <w:ind w:left="7352" w:hanging="361"/>
      </w:pPr>
      <w:rPr>
        <w:rFonts w:ascii="Symbol" w:hAnsi="Symbol" w:cs="Symbol" w:hint="default"/>
        <w:lang w:val="it-IT" w:eastAsia="it-IT" w:bidi="it-IT"/>
      </w:rPr>
    </w:lvl>
    <w:lvl w:ilvl="8">
      <w:start w:val="0"/>
      <w:numFmt w:val="bullet"/>
      <w:lvlText w:val=""/>
      <w:lvlJc w:val="left"/>
      <w:pPr>
        <w:tabs>
          <w:tab w:val="num" w:pos="0"/>
        </w:tabs>
        <w:ind w:left="8317" w:hanging="361"/>
      </w:pPr>
      <w:rPr>
        <w:rFonts w:ascii="Symbol" w:hAnsi="Symbol" w:cs="Symbol" w:hint="default"/>
        <w:lang w:val="it-IT" w:eastAsia="it-IT" w:bidi="it-IT"/>
      </w:rPr>
    </w:lvl>
  </w:abstractNum>
  <w:abstractNum w:abstractNumId="6">
    <w:lvl w:ilvl="0">
      <w:start w:val="1"/>
      <w:numFmt w:val="decimal"/>
      <w:lvlText w:val="%1."/>
      <w:lvlJc w:val="left"/>
      <w:pPr>
        <w:tabs>
          <w:tab w:val="num" w:pos="0"/>
        </w:tabs>
        <w:ind w:left="593" w:hanging="361"/>
      </w:pPr>
      <w:rPr>
        <w:sz w:val="22"/>
        <w:spacing w:val="-27"/>
        <w:szCs w:val="22"/>
        <w:w w:val="100"/>
        <w:rFonts w:ascii="Calibri" w:hAnsi="Calibri" w:eastAsia="Calibri" w:cs="Calibri"/>
        <w:lang w:val="it-IT" w:eastAsia="it-IT" w:bidi="it-IT"/>
      </w:rPr>
    </w:lvl>
    <w:lvl w:ilvl="1">
      <w:start w:val="1"/>
      <w:numFmt w:val="lowerLetter"/>
      <w:lvlText w:val="%2)"/>
      <w:lvlJc w:val="left"/>
      <w:pPr>
        <w:tabs>
          <w:tab w:val="num" w:pos="0"/>
        </w:tabs>
        <w:ind w:left="953" w:hanging="360"/>
      </w:pPr>
      <w:rPr>
        <w:sz w:val="22"/>
        <w:spacing w:val="-4"/>
        <w:szCs w:val="22"/>
        <w:w w:val="100"/>
        <w:rFonts w:ascii="Calibri" w:hAnsi="Calibri" w:eastAsia="Calibri" w:cs="Calibri"/>
        <w:lang w:val="it-IT" w:eastAsia="it-IT" w:bidi="it-IT"/>
      </w:rPr>
    </w:lvl>
    <w:lvl w:ilvl="2">
      <w:start w:val="0"/>
      <w:numFmt w:val="bullet"/>
      <w:lvlText w:val=""/>
      <w:lvlJc w:val="left"/>
      <w:pPr>
        <w:tabs>
          <w:tab w:val="num" w:pos="0"/>
        </w:tabs>
        <w:ind w:left="1991" w:hanging="360"/>
      </w:pPr>
      <w:rPr>
        <w:rFonts w:ascii="Symbol" w:hAnsi="Symbol" w:cs="Symbol" w:hint="default"/>
        <w:lang w:val="it-IT" w:eastAsia="it-IT" w:bidi="it-IT"/>
      </w:rPr>
    </w:lvl>
    <w:lvl w:ilvl="3">
      <w:start w:val="0"/>
      <w:numFmt w:val="bullet"/>
      <w:lvlText w:val=""/>
      <w:lvlJc w:val="left"/>
      <w:pPr>
        <w:tabs>
          <w:tab w:val="num" w:pos="0"/>
        </w:tabs>
        <w:ind w:left="3023" w:hanging="360"/>
      </w:pPr>
      <w:rPr>
        <w:rFonts w:ascii="Symbol" w:hAnsi="Symbol" w:cs="Symbol" w:hint="default"/>
        <w:lang w:val="it-IT" w:eastAsia="it-IT" w:bidi="it-IT"/>
      </w:rPr>
    </w:lvl>
    <w:lvl w:ilvl="4">
      <w:start w:val="0"/>
      <w:numFmt w:val="bullet"/>
      <w:lvlText w:val=""/>
      <w:lvlJc w:val="left"/>
      <w:pPr>
        <w:tabs>
          <w:tab w:val="num" w:pos="0"/>
        </w:tabs>
        <w:ind w:left="4055" w:hanging="360"/>
      </w:pPr>
      <w:rPr>
        <w:rFonts w:ascii="Symbol" w:hAnsi="Symbol" w:cs="Symbol" w:hint="default"/>
        <w:lang w:val="it-IT" w:eastAsia="it-IT" w:bidi="it-IT"/>
      </w:rPr>
    </w:lvl>
    <w:lvl w:ilvl="5">
      <w:start w:val="0"/>
      <w:numFmt w:val="bullet"/>
      <w:lvlText w:val=""/>
      <w:lvlJc w:val="left"/>
      <w:pPr>
        <w:tabs>
          <w:tab w:val="num" w:pos="0"/>
        </w:tabs>
        <w:ind w:left="5087" w:hanging="360"/>
      </w:pPr>
      <w:rPr>
        <w:rFonts w:ascii="Symbol" w:hAnsi="Symbol" w:cs="Symbol" w:hint="default"/>
        <w:lang w:val="it-IT" w:eastAsia="it-IT" w:bidi="it-IT"/>
      </w:rPr>
    </w:lvl>
    <w:lvl w:ilvl="6">
      <w:start w:val="0"/>
      <w:numFmt w:val="bullet"/>
      <w:lvlText w:val=""/>
      <w:lvlJc w:val="left"/>
      <w:pPr>
        <w:tabs>
          <w:tab w:val="num" w:pos="0"/>
        </w:tabs>
        <w:ind w:left="6119" w:hanging="360"/>
      </w:pPr>
      <w:rPr>
        <w:rFonts w:ascii="Symbol" w:hAnsi="Symbol" w:cs="Symbol" w:hint="default"/>
        <w:lang w:val="it-IT" w:eastAsia="it-IT" w:bidi="it-IT"/>
      </w:rPr>
    </w:lvl>
    <w:lvl w:ilvl="7">
      <w:start w:val="0"/>
      <w:numFmt w:val="bullet"/>
      <w:lvlText w:val=""/>
      <w:lvlJc w:val="left"/>
      <w:pPr>
        <w:tabs>
          <w:tab w:val="num" w:pos="0"/>
        </w:tabs>
        <w:ind w:left="7150" w:hanging="360"/>
      </w:pPr>
      <w:rPr>
        <w:rFonts w:ascii="Symbol" w:hAnsi="Symbol" w:cs="Symbol" w:hint="default"/>
        <w:lang w:val="it-IT" w:eastAsia="it-IT" w:bidi="it-IT"/>
      </w:rPr>
    </w:lvl>
    <w:lvl w:ilvl="8">
      <w:start w:val="0"/>
      <w:numFmt w:val="bullet"/>
      <w:lvlText w:val=""/>
      <w:lvlJc w:val="left"/>
      <w:pPr>
        <w:tabs>
          <w:tab w:val="num" w:pos="0"/>
        </w:tabs>
        <w:ind w:left="8182" w:hanging="360"/>
      </w:pPr>
      <w:rPr>
        <w:rFonts w:ascii="Symbol" w:hAnsi="Symbol" w:cs="Symbol" w:hint="default"/>
        <w:lang w:val="it-IT" w:eastAsia="it-IT" w:bidi="it-IT"/>
      </w:rPr>
    </w:lvl>
  </w:abstractNum>
  <w:abstractNum w:abstractNumId="7">
    <w:lvl w:ilvl="0">
      <w:start w:val="1"/>
      <w:numFmt w:val="decimal"/>
      <w:lvlText w:val="%1."/>
      <w:lvlJc w:val="left"/>
      <w:pPr>
        <w:tabs>
          <w:tab w:val="num" w:pos="0"/>
        </w:tabs>
        <w:ind w:left="593" w:hanging="361"/>
      </w:pPr>
      <w:rPr>
        <w:sz w:val="22"/>
        <w:spacing w:val="-3"/>
        <w:szCs w:val="22"/>
        <w:w w:val="100"/>
        <w:rFonts w:ascii="Calibri" w:hAnsi="Calibri" w:eastAsia="Calibri" w:cs="Calibri"/>
        <w:lang w:val="it-IT" w:eastAsia="it-IT" w:bidi="it-IT"/>
      </w:rPr>
    </w:lvl>
    <w:lvl w:ilvl="1">
      <w:start w:val="1"/>
      <w:numFmt w:val="lowerLetter"/>
      <w:lvlText w:val="%2)"/>
      <w:lvlJc w:val="left"/>
      <w:pPr>
        <w:tabs>
          <w:tab w:val="num" w:pos="0"/>
        </w:tabs>
        <w:ind w:left="842" w:hanging="250"/>
      </w:pPr>
      <w:rPr>
        <w:sz w:val="22"/>
        <w:szCs w:val="22"/>
        <w:w w:val="100"/>
        <w:rFonts w:ascii="Calibri" w:hAnsi="Calibri" w:eastAsia="Calibri" w:cs="Calibri"/>
        <w:lang w:val="it-IT" w:eastAsia="it-IT" w:bidi="it-IT"/>
      </w:rPr>
    </w:lvl>
    <w:lvl w:ilvl="2">
      <w:start w:val="0"/>
      <w:numFmt w:val="bullet"/>
      <w:lvlText w:val=""/>
      <w:lvlJc w:val="left"/>
      <w:pPr>
        <w:tabs>
          <w:tab w:val="num" w:pos="0"/>
        </w:tabs>
        <w:ind w:left="1885" w:hanging="250"/>
      </w:pPr>
      <w:rPr>
        <w:rFonts w:ascii="Symbol" w:hAnsi="Symbol" w:cs="Symbol" w:hint="default"/>
        <w:lang w:val="it-IT" w:eastAsia="it-IT" w:bidi="it-IT"/>
      </w:rPr>
    </w:lvl>
    <w:lvl w:ilvl="3">
      <w:start w:val="0"/>
      <w:numFmt w:val="bullet"/>
      <w:lvlText w:val=""/>
      <w:lvlJc w:val="left"/>
      <w:pPr>
        <w:tabs>
          <w:tab w:val="num" w:pos="0"/>
        </w:tabs>
        <w:ind w:left="2930" w:hanging="250"/>
      </w:pPr>
      <w:rPr>
        <w:rFonts w:ascii="Symbol" w:hAnsi="Symbol" w:cs="Symbol" w:hint="default"/>
        <w:lang w:val="it-IT" w:eastAsia="it-IT" w:bidi="it-IT"/>
      </w:rPr>
    </w:lvl>
    <w:lvl w:ilvl="4">
      <w:start w:val="0"/>
      <w:numFmt w:val="bullet"/>
      <w:lvlText w:val=""/>
      <w:lvlJc w:val="left"/>
      <w:pPr>
        <w:tabs>
          <w:tab w:val="num" w:pos="0"/>
        </w:tabs>
        <w:ind w:left="3975" w:hanging="250"/>
      </w:pPr>
      <w:rPr>
        <w:rFonts w:ascii="Symbol" w:hAnsi="Symbol" w:cs="Symbol" w:hint="default"/>
        <w:lang w:val="it-IT" w:eastAsia="it-IT" w:bidi="it-IT"/>
      </w:rPr>
    </w:lvl>
    <w:lvl w:ilvl="5">
      <w:start w:val="0"/>
      <w:numFmt w:val="bullet"/>
      <w:lvlText w:val=""/>
      <w:lvlJc w:val="left"/>
      <w:pPr>
        <w:tabs>
          <w:tab w:val="num" w:pos="0"/>
        </w:tabs>
        <w:ind w:left="5020" w:hanging="250"/>
      </w:pPr>
      <w:rPr>
        <w:rFonts w:ascii="Symbol" w:hAnsi="Symbol" w:cs="Symbol" w:hint="default"/>
        <w:lang w:val="it-IT" w:eastAsia="it-IT" w:bidi="it-IT"/>
      </w:rPr>
    </w:lvl>
    <w:lvl w:ilvl="6">
      <w:start w:val="0"/>
      <w:numFmt w:val="bullet"/>
      <w:lvlText w:val=""/>
      <w:lvlJc w:val="left"/>
      <w:pPr>
        <w:tabs>
          <w:tab w:val="num" w:pos="0"/>
        </w:tabs>
        <w:ind w:left="6065" w:hanging="250"/>
      </w:pPr>
      <w:rPr>
        <w:rFonts w:ascii="Symbol" w:hAnsi="Symbol" w:cs="Symbol" w:hint="default"/>
        <w:lang w:val="it-IT" w:eastAsia="it-IT" w:bidi="it-IT"/>
      </w:rPr>
    </w:lvl>
    <w:lvl w:ilvl="7">
      <w:start w:val="0"/>
      <w:numFmt w:val="bullet"/>
      <w:lvlText w:val=""/>
      <w:lvlJc w:val="left"/>
      <w:pPr>
        <w:tabs>
          <w:tab w:val="num" w:pos="0"/>
        </w:tabs>
        <w:ind w:left="7110" w:hanging="250"/>
      </w:pPr>
      <w:rPr>
        <w:rFonts w:ascii="Symbol" w:hAnsi="Symbol" w:cs="Symbol" w:hint="default"/>
        <w:lang w:val="it-IT" w:eastAsia="it-IT" w:bidi="it-IT"/>
      </w:rPr>
    </w:lvl>
    <w:lvl w:ilvl="8">
      <w:start w:val="0"/>
      <w:numFmt w:val="bullet"/>
      <w:lvlText w:val=""/>
      <w:lvlJc w:val="left"/>
      <w:pPr>
        <w:tabs>
          <w:tab w:val="num" w:pos="0"/>
        </w:tabs>
        <w:ind w:left="8156" w:hanging="250"/>
      </w:pPr>
      <w:rPr>
        <w:rFonts w:ascii="Symbol" w:hAnsi="Symbol" w:cs="Symbol" w:hint="default"/>
        <w:lang w:val="it-IT" w:eastAsia="it-IT" w:bidi="it-IT"/>
      </w:rPr>
    </w:lvl>
  </w:abstractNum>
  <w:abstractNum w:abstractNumId="8">
    <w:lvl w:ilvl="0">
      <w:start w:val="1"/>
      <w:numFmt w:val="decimal"/>
      <w:lvlText w:val="%1."/>
      <w:lvlJc w:val="left"/>
      <w:pPr>
        <w:tabs>
          <w:tab w:val="num" w:pos="0"/>
        </w:tabs>
        <w:ind w:left="593" w:hanging="361"/>
      </w:pPr>
      <w:rPr>
        <w:sz w:val="22"/>
        <w:spacing w:val="-23"/>
        <w:szCs w:val="22"/>
        <w:w w:val="100"/>
        <w:rFonts w:ascii="Calibri" w:hAnsi="Calibri" w:eastAsia="Calibri" w:cs="Calibri"/>
        <w:lang w:val="it-IT" w:eastAsia="it-IT" w:bidi="it-IT"/>
      </w:rPr>
    </w:lvl>
    <w:lvl w:ilvl="1">
      <w:start w:val="0"/>
      <w:numFmt w:val="bullet"/>
      <w:lvlText w:val=""/>
      <w:lvlJc w:val="left"/>
      <w:pPr>
        <w:tabs>
          <w:tab w:val="num" w:pos="0"/>
        </w:tabs>
        <w:ind w:left="1564" w:hanging="361"/>
      </w:pPr>
      <w:rPr>
        <w:rFonts w:ascii="Symbol" w:hAnsi="Symbol" w:cs="Symbol" w:hint="default"/>
        <w:lang w:val="it-IT" w:eastAsia="it-IT" w:bidi="it-IT"/>
      </w:rPr>
    </w:lvl>
    <w:lvl w:ilvl="2">
      <w:start w:val="0"/>
      <w:numFmt w:val="bullet"/>
      <w:lvlText w:val=""/>
      <w:lvlJc w:val="left"/>
      <w:pPr>
        <w:tabs>
          <w:tab w:val="num" w:pos="0"/>
        </w:tabs>
        <w:ind w:left="2529" w:hanging="361"/>
      </w:pPr>
      <w:rPr>
        <w:rFonts w:ascii="Symbol" w:hAnsi="Symbol" w:cs="Symbol" w:hint="default"/>
        <w:lang w:val="it-IT" w:eastAsia="it-IT" w:bidi="it-IT"/>
      </w:rPr>
    </w:lvl>
    <w:lvl w:ilvl="3">
      <w:start w:val="0"/>
      <w:numFmt w:val="bullet"/>
      <w:lvlText w:val=""/>
      <w:lvlJc w:val="left"/>
      <w:pPr>
        <w:tabs>
          <w:tab w:val="num" w:pos="0"/>
        </w:tabs>
        <w:ind w:left="3493" w:hanging="361"/>
      </w:pPr>
      <w:rPr>
        <w:rFonts w:ascii="Symbol" w:hAnsi="Symbol" w:cs="Symbol" w:hint="default"/>
        <w:lang w:val="it-IT" w:eastAsia="it-IT" w:bidi="it-IT"/>
      </w:rPr>
    </w:lvl>
    <w:lvl w:ilvl="4">
      <w:start w:val="0"/>
      <w:numFmt w:val="bullet"/>
      <w:lvlText w:val=""/>
      <w:lvlJc w:val="left"/>
      <w:pPr>
        <w:tabs>
          <w:tab w:val="num" w:pos="0"/>
        </w:tabs>
        <w:ind w:left="4458" w:hanging="361"/>
      </w:pPr>
      <w:rPr>
        <w:rFonts w:ascii="Symbol" w:hAnsi="Symbol" w:cs="Symbol" w:hint="default"/>
        <w:lang w:val="it-IT" w:eastAsia="it-IT" w:bidi="it-IT"/>
      </w:rPr>
    </w:lvl>
    <w:lvl w:ilvl="5">
      <w:start w:val="0"/>
      <w:numFmt w:val="bullet"/>
      <w:lvlText w:val=""/>
      <w:lvlJc w:val="left"/>
      <w:pPr>
        <w:tabs>
          <w:tab w:val="num" w:pos="0"/>
        </w:tabs>
        <w:ind w:left="5423" w:hanging="361"/>
      </w:pPr>
      <w:rPr>
        <w:rFonts w:ascii="Symbol" w:hAnsi="Symbol" w:cs="Symbol" w:hint="default"/>
        <w:lang w:val="it-IT" w:eastAsia="it-IT" w:bidi="it-IT"/>
      </w:rPr>
    </w:lvl>
    <w:lvl w:ilvl="6">
      <w:start w:val="0"/>
      <w:numFmt w:val="bullet"/>
      <w:lvlText w:val=""/>
      <w:lvlJc w:val="left"/>
      <w:pPr>
        <w:tabs>
          <w:tab w:val="num" w:pos="0"/>
        </w:tabs>
        <w:ind w:left="6387" w:hanging="361"/>
      </w:pPr>
      <w:rPr>
        <w:rFonts w:ascii="Symbol" w:hAnsi="Symbol" w:cs="Symbol" w:hint="default"/>
        <w:lang w:val="it-IT" w:eastAsia="it-IT" w:bidi="it-IT"/>
      </w:rPr>
    </w:lvl>
    <w:lvl w:ilvl="7">
      <w:start w:val="0"/>
      <w:numFmt w:val="bullet"/>
      <w:lvlText w:val=""/>
      <w:lvlJc w:val="left"/>
      <w:pPr>
        <w:tabs>
          <w:tab w:val="num" w:pos="0"/>
        </w:tabs>
        <w:ind w:left="7352" w:hanging="361"/>
      </w:pPr>
      <w:rPr>
        <w:rFonts w:ascii="Symbol" w:hAnsi="Symbol" w:cs="Symbol" w:hint="default"/>
        <w:lang w:val="it-IT" w:eastAsia="it-IT" w:bidi="it-IT"/>
      </w:rPr>
    </w:lvl>
    <w:lvl w:ilvl="8">
      <w:start w:val="0"/>
      <w:numFmt w:val="bullet"/>
      <w:lvlText w:val=""/>
      <w:lvlJc w:val="left"/>
      <w:pPr>
        <w:tabs>
          <w:tab w:val="num" w:pos="0"/>
        </w:tabs>
        <w:ind w:left="8317" w:hanging="361"/>
      </w:pPr>
      <w:rPr>
        <w:rFonts w:ascii="Symbol" w:hAnsi="Symbol" w:cs="Symbol" w:hint="default"/>
        <w:lang w:val="it-IT" w:eastAsia="it-IT" w:bidi="it-IT"/>
      </w:rPr>
    </w:lvl>
  </w:abstractNum>
  <w:abstractNum w:abstractNumId="9">
    <w:lvl w:ilvl="0">
      <w:start w:val="1"/>
      <w:numFmt w:val="decimal"/>
      <w:lvlText w:val="%1."/>
      <w:lvlJc w:val="left"/>
      <w:pPr>
        <w:tabs>
          <w:tab w:val="num" w:pos="0"/>
        </w:tabs>
        <w:ind w:left="593" w:hanging="361"/>
      </w:pPr>
      <w:rPr>
        <w:sz w:val="22"/>
        <w:spacing w:val="-4"/>
        <w:szCs w:val="22"/>
        <w:w w:val="100"/>
        <w:rFonts w:ascii="Calibri" w:hAnsi="Calibri" w:eastAsia="Calibri" w:cs="Calibri"/>
        <w:lang w:val="it-IT" w:eastAsia="it-IT" w:bidi="it-IT"/>
      </w:rPr>
    </w:lvl>
    <w:lvl w:ilvl="1">
      <w:start w:val="0"/>
      <w:numFmt w:val="bullet"/>
      <w:lvlText w:val=""/>
      <w:lvlJc w:val="left"/>
      <w:pPr>
        <w:tabs>
          <w:tab w:val="num" w:pos="0"/>
        </w:tabs>
        <w:ind w:left="1564" w:hanging="361"/>
      </w:pPr>
      <w:rPr>
        <w:rFonts w:ascii="Symbol" w:hAnsi="Symbol" w:cs="Symbol" w:hint="default"/>
        <w:lang w:val="it-IT" w:eastAsia="it-IT" w:bidi="it-IT"/>
      </w:rPr>
    </w:lvl>
    <w:lvl w:ilvl="2">
      <w:start w:val="0"/>
      <w:numFmt w:val="bullet"/>
      <w:lvlText w:val=""/>
      <w:lvlJc w:val="left"/>
      <w:pPr>
        <w:tabs>
          <w:tab w:val="num" w:pos="0"/>
        </w:tabs>
        <w:ind w:left="2529" w:hanging="361"/>
      </w:pPr>
      <w:rPr>
        <w:rFonts w:ascii="Symbol" w:hAnsi="Symbol" w:cs="Symbol" w:hint="default"/>
        <w:lang w:val="it-IT" w:eastAsia="it-IT" w:bidi="it-IT"/>
      </w:rPr>
    </w:lvl>
    <w:lvl w:ilvl="3">
      <w:start w:val="0"/>
      <w:numFmt w:val="bullet"/>
      <w:lvlText w:val=""/>
      <w:lvlJc w:val="left"/>
      <w:pPr>
        <w:tabs>
          <w:tab w:val="num" w:pos="0"/>
        </w:tabs>
        <w:ind w:left="3493" w:hanging="361"/>
      </w:pPr>
      <w:rPr>
        <w:rFonts w:ascii="Symbol" w:hAnsi="Symbol" w:cs="Symbol" w:hint="default"/>
        <w:lang w:val="it-IT" w:eastAsia="it-IT" w:bidi="it-IT"/>
      </w:rPr>
    </w:lvl>
    <w:lvl w:ilvl="4">
      <w:start w:val="0"/>
      <w:numFmt w:val="bullet"/>
      <w:lvlText w:val=""/>
      <w:lvlJc w:val="left"/>
      <w:pPr>
        <w:tabs>
          <w:tab w:val="num" w:pos="0"/>
        </w:tabs>
        <w:ind w:left="4458" w:hanging="361"/>
      </w:pPr>
      <w:rPr>
        <w:rFonts w:ascii="Symbol" w:hAnsi="Symbol" w:cs="Symbol" w:hint="default"/>
        <w:lang w:val="it-IT" w:eastAsia="it-IT" w:bidi="it-IT"/>
      </w:rPr>
    </w:lvl>
    <w:lvl w:ilvl="5">
      <w:start w:val="0"/>
      <w:numFmt w:val="bullet"/>
      <w:lvlText w:val=""/>
      <w:lvlJc w:val="left"/>
      <w:pPr>
        <w:tabs>
          <w:tab w:val="num" w:pos="0"/>
        </w:tabs>
        <w:ind w:left="5423" w:hanging="361"/>
      </w:pPr>
      <w:rPr>
        <w:rFonts w:ascii="Symbol" w:hAnsi="Symbol" w:cs="Symbol" w:hint="default"/>
        <w:lang w:val="it-IT" w:eastAsia="it-IT" w:bidi="it-IT"/>
      </w:rPr>
    </w:lvl>
    <w:lvl w:ilvl="6">
      <w:start w:val="0"/>
      <w:numFmt w:val="bullet"/>
      <w:lvlText w:val=""/>
      <w:lvlJc w:val="left"/>
      <w:pPr>
        <w:tabs>
          <w:tab w:val="num" w:pos="0"/>
        </w:tabs>
        <w:ind w:left="6387" w:hanging="361"/>
      </w:pPr>
      <w:rPr>
        <w:rFonts w:ascii="Symbol" w:hAnsi="Symbol" w:cs="Symbol" w:hint="default"/>
        <w:lang w:val="it-IT" w:eastAsia="it-IT" w:bidi="it-IT"/>
      </w:rPr>
    </w:lvl>
    <w:lvl w:ilvl="7">
      <w:start w:val="0"/>
      <w:numFmt w:val="bullet"/>
      <w:lvlText w:val=""/>
      <w:lvlJc w:val="left"/>
      <w:pPr>
        <w:tabs>
          <w:tab w:val="num" w:pos="0"/>
        </w:tabs>
        <w:ind w:left="7352" w:hanging="361"/>
      </w:pPr>
      <w:rPr>
        <w:rFonts w:ascii="Symbol" w:hAnsi="Symbol" w:cs="Symbol" w:hint="default"/>
        <w:lang w:val="it-IT" w:eastAsia="it-IT" w:bidi="it-IT"/>
      </w:rPr>
    </w:lvl>
    <w:lvl w:ilvl="8">
      <w:start w:val="0"/>
      <w:numFmt w:val="bullet"/>
      <w:lvlText w:val=""/>
      <w:lvlJc w:val="left"/>
      <w:pPr>
        <w:tabs>
          <w:tab w:val="num" w:pos="0"/>
        </w:tabs>
        <w:ind w:left="8317" w:hanging="361"/>
      </w:pPr>
      <w:rPr>
        <w:rFonts w:ascii="Symbol" w:hAnsi="Symbol" w:cs="Symbol" w:hint="default"/>
        <w:lang w:val="it-IT" w:eastAsia="it-IT" w:bidi="it-IT"/>
      </w:rPr>
    </w:lvl>
  </w:abstractNum>
  <w:abstractNum w:abstractNumId="10">
    <w:lvl w:ilvl="0">
      <w:start w:val="1"/>
      <w:numFmt w:val="decimal"/>
      <w:lvlText w:val="%1."/>
      <w:lvlJc w:val="left"/>
      <w:pPr>
        <w:tabs>
          <w:tab w:val="num" w:pos="0"/>
        </w:tabs>
        <w:ind w:left="593" w:hanging="361"/>
      </w:pPr>
      <w:rPr>
        <w:sz w:val="22"/>
        <w:spacing w:val="-21"/>
        <w:szCs w:val="22"/>
        <w:w w:val="100"/>
        <w:rFonts w:ascii="Calibri" w:hAnsi="Calibri" w:eastAsia="Calibri" w:cs="Calibri"/>
        <w:lang w:val="it-IT" w:eastAsia="it-IT" w:bidi="it-IT"/>
      </w:rPr>
    </w:lvl>
    <w:lvl w:ilvl="1">
      <w:start w:val="0"/>
      <w:numFmt w:val="bullet"/>
      <w:lvlText w:val="-"/>
      <w:lvlJc w:val="left"/>
      <w:pPr>
        <w:tabs>
          <w:tab w:val="num" w:pos="0"/>
        </w:tabs>
        <w:ind w:left="953" w:hanging="360"/>
      </w:pPr>
      <w:rPr>
        <w:rFonts w:ascii="Times New Roman" w:hAnsi="Times New Roman" w:cs="Times New Roman" w:hint="default"/>
        <w:sz w:val="24"/>
        <w:spacing w:val="-20"/>
        <w:szCs w:val="24"/>
        <w:w w:val="100"/>
        <w:lang w:val="it-IT" w:eastAsia="it-IT" w:bidi="it-IT"/>
      </w:rPr>
    </w:lvl>
    <w:lvl w:ilvl="2">
      <w:start w:val="0"/>
      <w:numFmt w:val="bullet"/>
      <w:lvlText w:val=""/>
      <w:lvlJc w:val="left"/>
      <w:pPr>
        <w:tabs>
          <w:tab w:val="num" w:pos="0"/>
        </w:tabs>
        <w:ind w:left="1991" w:hanging="360"/>
      </w:pPr>
      <w:rPr>
        <w:rFonts w:ascii="Symbol" w:hAnsi="Symbol" w:cs="Symbol" w:hint="default"/>
        <w:lang w:val="it-IT" w:eastAsia="it-IT" w:bidi="it-IT"/>
      </w:rPr>
    </w:lvl>
    <w:lvl w:ilvl="3">
      <w:start w:val="0"/>
      <w:numFmt w:val="bullet"/>
      <w:lvlText w:val=""/>
      <w:lvlJc w:val="left"/>
      <w:pPr>
        <w:tabs>
          <w:tab w:val="num" w:pos="0"/>
        </w:tabs>
        <w:ind w:left="3023" w:hanging="360"/>
      </w:pPr>
      <w:rPr>
        <w:rFonts w:ascii="Symbol" w:hAnsi="Symbol" w:cs="Symbol" w:hint="default"/>
        <w:lang w:val="it-IT" w:eastAsia="it-IT" w:bidi="it-IT"/>
      </w:rPr>
    </w:lvl>
    <w:lvl w:ilvl="4">
      <w:start w:val="0"/>
      <w:numFmt w:val="bullet"/>
      <w:lvlText w:val=""/>
      <w:lvlJc w:val="left"/>
      <w:pPr>
        <w:tabs>
          <w:tab w:val="num" w:pos="0"/>
        </w:tabs>
        <w:ind w:left="4055" w:hanging="360"/>
      </w:pPr>
      <w:rPr>
        <w:rFonts w:ascii="Symbol" w:hAnsi="Symbol" w:cs="Symbol" w:hint="default"/>
        <w:lang w:val="it-IT" w:eastAsia="it-IT" w:bidi="it-IT"/>
      </w:rPr>
    </w:lvl>
    <w:lvl w:ilvl="5">
      <w:start w:val="0"/>
      <w:numFmt w:val="bullet"/>
      <w:lvlText w:val=""/>
      <w:lvlJc w:val="left"/>
      <w:pPr>
        <w:tabs>
          <w:tab w:val="num" w:pos="0"/>
        </w:tabs>
        <w:ind w:left="5087" w:hanging="360"/>
      </w:pPr>
      <w:rPr>
        <w:rFonts w:ascii="Symbol" w:hAnsi="Symbol" w:cs="Symbol" w:hint="default"/>
        <w:lang w:val="it-IT" w:eastAsia="it-IT" w:bidi="it-IT"/>
      </w:rPr>
    </w:lvl>
    <w:lvl w:ilvl="6">
      <w:start w:val="0"/>
      <w:numFmt w:val="bullet"/>
      <w:lvlText w:val=""/>
      <w:lvlJc w:val="left"/>
      <w:pPr>
        <w:tabs>
          <w:tab w:val="num" w:pos="0"/>
        </w:tabs>
        <w:ind w:left="6119" w:hanging="360"/>
      </w:pPr>
      <w:rPr>
        <w:rFonts w:ascii="Symbol" w:hAnsi="Symbol" w:cs="Symbol" w:hint="default"/>
        <w:lang w:val="it-IT" w:eastAsia="it-IT" w:bidi="it-IT"/>
      </w:rPr>
    </w:lvl>
    <w:lvl w:ilvl="7">
      <w:start w:val="0"/>
      <w:numFmt w:val="bullet"/>
      <w:lvlText w:val=""/>
      <w:lvlJc w:val="left"/>
      <w:pPr>
        <w:tabs>
          <w:tab w:val="num" w:pos="0"/>
        </w:tabs>
        <w:ind w:left="7150" w:hanging="360"/>
      </w:pPr>
      <w:rPr>
        <w:rFonts w:ascii="Symbol" w:hAnsi="Symbol" w:cs="Symbol" w:hint="default"/>
        <w:lang w:val="it-IT" w:eastAsia="it-IT" w:bidi="it-IT"/>
      </w:rPr>
    </w:lvl>
    <w:lvl w:ilvl="8">
      <w:start w:val="0"/>
      <w:numFmt w:val="bullet"/>
      <w:lvlText w:val=""/>
      <w:lvlJc w:val="left"/>
      <w:pPr>
        <w:tabs>
          <w:tab w:val="num" w:pos="0"/>
        </w:tabs>
        <w:ind w:left="8182" w:hanging="360"/>
      </w:pPr>
      <w:rPr>
        <w:rFonts w:ascii="Symbol" w:hAnsi="Symbol" w:cs="Symbol" w:hint="default"/>
        <w:lang w:val="it-IT" w:eastAsia="it-IT" w:bidi="it-IT"/>
      </w:rPr>
    </w:lvl>
  </w:abstractNum>
  <w:abstractNum w:abstractNumId="11">
    <w:lvl w:ilvl="0">
      <w:start w:val="1"/>
      <w:numFmt w:val="decimal"/>
      <w:lvlText w:val="%1."/>
      <w:lvlJc w:val="left"/>
      <w:pPr>
        <w:tabs>
          <w:tab w:val="num" w:pos="0"/>
        </w:tabs>
        <w:ind w:left="593" w:hanging="361"/>
      </w:pPr>
      <w:rPr>
        <w:sz w:val="22"/>
        <w:spacing w:val="-27"/>
        <w:szCs w:val="22"/>
        <w:w w:val="100"/>
        <w:rFonts w:ascii="Calibri" w:hAnsi="Calibri" w:eastAsia="Calibri" w:cs="Calibri"/>
        <w:lang w:val="it-IT" w:eastAsia="it-IT" w:bidi="it-IT"/>
      </w:rPr>
    </w:lvl>
    <w:lvl w:ilvl="1">
      <w:start w:val="0"/>
      <w:numFmt w:val="bullet"/>
      <w:lvlText w:val=""/>
      <w:lvlJc w:val="left"/>
      <w:pPr>
        <w:tabs>
          <w:tab w:val="num" w:pos="0"/>
        </w:tabs>
        <w:ind w:left="1564" w:hanging="361"/>
      </w:pPr>
      <w:rPr>
        <w:rFonts w:ascii="Symbol" w:hAnsi="Symbol" w:cs="Symbol" w:hint="default"/>
        <w:lang w:val="it-IT" w:eastAsia="it-IT" w:bidi="it-IT"/>
      </w:rPr>
    </w:lvl>
    <w:lvl w:ilvl="2">
      <w:start w:val="0"/>
      <w:numFmt w:val="bullet"/>
      <w:lvlText w:val=""/>
      <w:lvlJc w:val="left"/>
      <w:pPr>
        <w:tabs>
          <w:tab w:val="num" w:pos="0"/>
        </w:tabs>
        <w:ind w:left="2529" w:hanging="361"/>
      </w:pPr>
      <w:rPr>
        <w:rFonts w:ascii="Symbol" w:hAnsi="Symbol" w:cs="Symbol" w:hint="default"/>
        <w:lang w:val="it-IT" w:eastAsia="it-IT" w:bidi="it-IT"/>
      </w:rPr>
    </w:lvl>
    <w:lvl w:ilvl="3">
      <w:start w:val="0"/>
      <w:numFmt w:val="bullet"/>
      <w:lvlText w:val=""/>
      <w:lvlJc w:val="left"/>
      <w:pPr>
        <w:tabs>
          <w:tab w:val="num" w:pos="0"/>
        </w:tabs>
        <w:ind w:left="3493" w:hanging="361"/>
      </w:pPr>
      <w:rPr>
        <w:rFonts w:ascii="Symbol" w:hAnsi="Symbol" w:cs="Symbol" w:hint="default"/>
        <w:lang w:val="it-IT" w:eastAsia="it-IT" w:bidi="it-IT"/>
      </w:rPr>
    </w:lvl>
    <w:lvl w:ilvl="4">
      <w:start w:val="0"/>
      <w:numFmt w:val="bullet"/>
      <w:lvlText w:val=""/>
      <w:lvlJc w:val="left"/>
      <w:pPr>
        <w:tabs>
          <w:tab w:val="num" w:pos="0"/>
        </w:tabs>
        <w:ind w:left="4458" w:hanging="361"/>
      </w:pPr>
      <w:rPr>
        <w:rFonts w:ascii="Symbol" w:hAnsi="Symbol" w:cs="Symbol" w:hint="default"/>
        <w:lang w:val="it-IT" w:eastAsia="it-IT" w:bidi="it-IT"/>
      </w:rPr>
    </w:lvl>
    <w:lvl w:ilvl="5">
      <w:start w:val="0"/>
      <w:numFmt w:val="bullet"/>
      <w:lvlText w:val=""/>
      <w:lvlJc w:val="left"/>
      <w:pPr>
        <w:tabs>
          <w:tab w:val="num" w:pos="0"/>
        </w:tabs>
        <w:ind w:left="5423" w:hanging="361"/>
      </w:pPr>
      <w:rPr>
        <w:rFonts w:ascii="Symbol" w:hAnsi="Symbol" w:cs="Symbol" w:hint="default"/>
        <w:lang w:val="it-IT" w:eastAsia="it-IT" w:bidi="it-IT"/>
      </w:rPr>
    </w:lvl>
    <w:lvl w:ilvl="6">
      <w:start w:val="0"/>
      <w:numFmt w:val="bullet"/>
      <w:lvlText w:val=""/>
      <w:lvlJc w:val="left"/>
      <w:pPr>
        <w:tabs>
          <w:tab w:val="num" w:pos="0"/>
        </w:tabs>
        <w:ind w:left="6387" w:hanging="361"/>
      </w:pPr>
      <w:rPr>
        <w:rFonts w:ascii="Symbol" w:hAnsi="Symbol" w:cs="Symbol" w:hint="default"/>
        <w:lang w:val="it-IT" w:eastAsia="it-IT" w:bidi="it-IT"/>
      </w:rPr>
    </w:lvl>
    <w:lvl w:ilvl="7">
      <w:start w:val="0"/>
      <w:numFmt w:val="bullet"/>
      <w:lvlText w:val=""/>
      <w:lvlJc w:val="left"/>
      <w:pPr>
        <w:tabs>
          <w:tab w:val="num" w:pos="0"/>
        </w:tabs>
        <w:ind w:left="7352" w:hanging="361"/>
      </w:pPr>
      <w:rPr>
        <w:rFonts w:ascii="Symbol" w:hAnsi="Symbol" w:cs="Symbol" w:hint="default"/>
        <w:lang w:val="it-IT" w:eastAsia="it-IT" w:bidi="it-IT"/>
      </w:rPr>
    </w:lvl>
    <w:lvl w:ilvl="8">
      <w:start w:val="0"/>
      <w:numFmt w:val="bullet"/>
      <w:lvlText w:val=""/>
      <w:lvlJc w:val="left"/>
      <w:pPr>
        <w:tabs>
          <w:tab w:val="num" w:pos="0"/>
        </w:tabs>
        <w:ind w:left="8317" w:hanging="361"/>
      </w:pPr>
      <w:rPr>
        <w:rFonts w:ascii="Symbol" w:hAnsi="Symbol" w:cs="Symbol" w:hint="default"/>
        <w:lang w:val="it-IT" w:eastAsia="it-IT" w:bidi="it-IT"/>
      </w:rPr>
    </w:lvl>
  </w:abstractNum>
  <w:abstractNum w:abstractNumId="12">
    <w:lvl w:ilvl="0">
      <w:start w:val="1"/>
      <w:numFmt w:val="decimal"/>
      <w:lvlText w:val="%1."/>
      <w:lvlJc w:val="left"/>
      <w:pPr>
        <w:tabs>
          <w:tab w:val="num" w:pos="0"/>
        </w:tabs>
        <w:ind w:left="593" w:hanging="361"/>
      </w:pPr>
      <w:rPr>
        <w:sz w:val="22"/>
        <w:spacing w:val="-28"/>
        <w:szCs w:val="22"/>
        <w:w w:val="100"/>
        <w:rFonts w:ascii="Calibri" w:hAnsi="Calibri" w:eastAsia="Calibri" w:cs="Calibri"/>
        <w:lang w:val="it-IT" w:eastAsia="it-IT" w:bidi="it-IT"/>
      </w:rPr>
    </w:lvl>
    <w:lvl w:ilvl="1">
      <w:start w:val="0"/>
      <w:numFmt w:val="bullet"/>
      <w:lvlText w:val=""/>
      <w:lvlJc w:val="left"/>
      <w:pPr>
        <w:tabs>
          <w:tab w:val="num" w:pos="0"/>
        </w:tabs>
        <w:ind w:left="1564" w:hanging="361"/>
      </w:pPr>
      <w:rPr>
        <w:rFonts w:ascii="Symbol" w:hAnsi="Symbol" w:cs="Symbol" w:hint="default"/>
        <w:lang w:val="it-IT" w:eastAsia="it-IT" w:bidi="it-IT"/>
      </w:rPr>
    </w:lvl>
    <w:lvl w:ilvl="2">
      <w:start w:val="0"/>
      <w:numFmt w:val="bullet"/>
      <w:lvlText w:val=""/>
      <w:lvlJc w:val="left"/>
      <w:pPr>
        <w:tabs>
          <w:tab w:val="num" w:pos="0"/>
        </w:tabs>
        <w:ind w:left="2529" w:hanging="361"/>
      </w:pPr>
      <w:rPr>
        <w:rFonts w:ascii="Symbol" w:hAnsi="Symbol" w:cs="Symbol" w:hint="default"/>
        <w:lang w:val="it-IT" w:eastAsia="it-IT" w:bidi="it-IT"/>
      </w:rPr>
    </w:lvl>
    <w:lvl w:ilvl="3">
      <w:start w:val="0"/>
      <w:numFmt w:val="bullet"/>
      <w:lvlText w:val=""/>
      <w:lvlJc w:val="left"/>
      <w:pPr>
        <w:tabs>
          <w:tab w:val="num" w:pos="0"/>
        </w:tabs>
        <w:ind w:left="3493" w:hanging="361"/>
      </w:pPr>
      <w:rPr>
        <w:rFonts w:ascii="Symbol" w:hAnsi="Symbol" w:cs="Symbol" w:hint="default"/>
        <w:lang w:val="it-IT" w:eastAsia="it-IT" w:bidi="it-IT"/>
      </w:rPr>
    </w:lvl>
    <w:lvl w:ilvl="4">
      <w:start w:val="0"/>
      <w:numFmt w:val="bullet"/>
      <w:lvlText w:val=""/>
      <w:lvlJc w:val="left"/>
      <w:pPr>
        <w:tabs>
          <w:tab w:val="num" w:pos="0"/>
        </w:tabs>
        <w:ind w:left="4458" w:hanging="361"/>
      </w:pPr>
      <w:rPr>
        <w:rFonts w:ascii="Symbol" w:hAnsi="Symbol" w:cs="Symbol" w:hint="default"/>
        <w:lang w:val="it-IT" w:eastAsia="it-IT" w:bidi="it-IT"/>
      </w:rPr>
    </w:lvl>
    <w:lvl w:ilvl="5">
      <w:start w:val="0"/>
      <w:numFmt w:val="bullet"/>
      <w:lvlText w:val=""/>
      <w:lvlJc w:val="left"/>
      <w:pPr>
        <w:tabs>
          <w:tab w:val="num" w:pos="0"/>
        </w:tabs>
        <w:ind w:left="5423" w:hanging="361"/>
      </w:pPr>
      <w:rPr>
        <w:rFonts w:ascii="Symbol" w:hAnsi="Symbol" w:cs="Symbol" w:hint="default"/>
        <w:lang w:val="it-IT" w:eastAsia="it-IT" w:bidi="it-IT"/>
      </w:rPr>
    </w:lvl>
    <w:lvl w:ilvl="6">
      <w:start w:val="0"/>
      <w:numFmt w:val="bullet"/>
      <w:lvlText w:val=""/>
      <w:lvlJc w:val="left"/>
      <w:pPr>
        <w:tabs>
          <w:tab w:val="num" w:pos="0"/>
        </w:tabs>
        <w:ind w:left="6387" w:hanging="361"/>
      </w:pPr>
      <w:rPr>
        <w:rFonts w:ascii="Symbol" w:hAnsi="Symbol" w:cs="Symbol" w:hint="default"/>
        <w:lang w:val="it-IT" w:eastAsia="it-IT" w:bidi="it-IT"/>
      </w:rPr>
    </w:lvl>
    <w:lvl w:ilvl="7">
      <w:start w:val="0"/>
      <w:numFmt w:val="bullet"/>
      <w:lvlText w:val=""/>
      <w:lvlJc w:val="left"/>
      <w:pPr>
        <w:tabs>
          <w:tab w:val="num" w:pos="0"/>
        </w:tabs>
        <w:ind w:left="7352" w:hanging="361"/>
      </w:pPr>
      <w:rPr>
        <w:rFonts w:ascii="Symbol" w:hAnsi="Symbol" w:cs="Symbol" w:hint="default"/>
        <w:lang w:val="it-IT" w:eastAsia="it-IT" w:bidi="it-IT"/>
      </w:rPr>
    </w:lvl>
    <w:lvl w:ilvl="8">
      <w:start w:val="0"/>
      <w:numFmt w:val="bullet"/>
      <w:lvlText w:val=""/>
      <w:lvlJc w:val="left"/>
      <w:pPr>
        <w:tabs>
          <w:tab w:val="num" w:pos="0"/>
        </w:tabs>
        <w:ind w:left="8317" w:hanging="361"/>
      </w:pPr>
      <w:rPr>
        <w:rFonts w:ascii="Symbol" w:hAnsi="Symbol" w:cs="Symbol" w:hint="default"/>
        <w:lang w:val="it-IT" w:eastAsia="it-IT" w:bidi="it-IT"/>
      </w:rPr>
    </w:lvl>
  </w:abstractNum>
  <w:abstractNum w:abstractNumId="13">
    <w:lvl w:ilvl="0">
      <w:start w:val="1"/>
      <w:numFmt w:val="lowerLetter"/>
      <w:lvlText w:val="%1)"/>
      <w:lvlJc w:val="left"/>
      <w:pPr>
        <w:tabs>
          <w:tab w:val="num" w:pos="0"/>
        </w:tabs>
        <w:ind w:left="953" w:hanging="360"/>
      </w:pPr>
      <w:rPr>
        <w:sz w:val="22"/>
        <w:spacing w:val="-3"/>
        <w:szCs w:val="22"/>
        <w:w w:val="100"/>
        <w:rFonts w:ascii="Calibri" w:hAnsi="Calibri" w:eastAsia="Calibri" w:cs="Calibri"/>
        <w:lang w:val="it-IT" w:eastAsia="it-IT" w:bidi="it-IT"/>
      </w:rPr>
    </w:lvl>
    <w:lvl w:ilvl="1">
      <w:start w:val="0"/>
      <w:numFmt w:val="bullet"/>
      <w:lvlText w:val=""/>
      <w:lvlJc w:val="left"/>
      <w:pPr>
        <w:tabs>
          <w:tab w:val="num" w:pos="0"/>
        </w:tabs>
        <w:ind w:left="1888" w:hanging="360"/>
      </w:pPr>
      <w:rPr>
        <w:rFonts w:ascii="Symbol" w:hAnsi="Symbol" w:cs="Symbol" w:hint="default"/>
        <w:lang w:val="it-IT" w:eastAsia="it-IT" w:bidi="it-IT"/>
      </w:rPr>
    </w:lvl>
    <w:lvl w:ilvl="2">
      <w:start w:val="0"/>
      <w:numFmt w:val="bullet"/>
      <w:lvlText w:val=""/>
      <w:lvlJc w:val="left"/>
      <w:pPr>
        <w:tabs>
          <w:tab w:val="num" w:pos="0"/>
        </w:tabs>
        <w:ind w:left="2817" w:hanging="360"/>
      </w:pPr>
      <w:rPr>
        <w:rFonts w:ascii="Symbol" w:hAnsi="Symbol" w:cs="Symbol" w:hint="default"/>
        <w:lang w:val="it-IT" w:eastAsia="it-IT" w:bidi="it-IT"/>
      </w:rPr>
    </w:lvl>
    <w:lvl w:ilvl="3">
      <w:start w:val="0"/>
      <w:numFmt w:val="bullet"/>
      <w:lvlText w:val=""/>
      <w:lvlJc w:val="left"/>
      <w:pPr>
        <w:tabs>
          <w:tab w:val="num" w:pos="0"/>
        </w:tabs>
        <w:ind w:left="3745" w:hanging="360"/>
      </w:pPr>
      <w:rPr>
        <w:rFonts w:ascii="Symbol" w:hAnsi="Symbol" w:cs="Symbol" w:hint="default"/>
        <w:lang w:val="it-IT" w:eastAsia="it-IT" w:bidi="it-IT"/>
      </w:rPr>
    </w:lvl>
    <w:lvl w:ilvl="4">
      <w:start w:val="0"/>
      <w:numFmt w:val="bullet"/>
      <w:lvlText w:val=""/>
      <w:lvlJc w:val="left"/>
      <w:pPr>
        <w:tabs>
          <w:tab w:val="num" w:pos="0"/>
        </w:tabs>
        <w:ind w:left="4674" w:hanging="360"/>
      </w:pPr>
      <w:rPr>
        <w:rFonts w:ascii="Symbol" w:hAnsi="Symbol" w:cs="Symbol" w:hint="default"/>
        <w:lang w:val="it-IT" w:eastAsia="it-IT" w:bidi="it-IT"/>
      </w:rPr>
    </w:lvl>
    <w:lvl w:ilvl="5">
      <w:start w:val="0"/>
      <w:numFmt w:val="bullet"/>
      <w:lvlText w:val=""/>
      <w:lvlJc w:val="left"/>
      <w:pPr>
        <w:tabs>
          <w:tab w:val="num" w:pos="0"/>
        </w:tabs>
        <w:ind w:left="5603" w:hanging="360"/>
      </w:pPr>
      <w:rPr>
        <w:rFonts w:ascii="Symbol" w:hAnsi="Symbol" w:cs="Symbol" w:hint="default"/>
        <w:lang w:val="it-IT" w:eastAsia="it-IT" w:bidi="it-IT"/>
      </w:rPr>
    </w:lvl>
    <w:lvl w:ilvl="6">
      <w:start w:val="0"/>
      <w:numFmt w:val="bullet"/>
      <w:lvlText w:val=""/>
      <w:lvlJc w:val="left"/>
      <w:pPr>
        <w:tabs>
          <w:tab w:val="num" w:pos="0"/>
        </w:tabs>
        <w:ind w:left="6531" w:hanging="360"/>
      </w:pPr>
      <w:rPr>
        <w:rFonts w:ascii="Symbol" w:hAnsi="Symbol" w:cs="Symbol" w:hint="default"/>
        <w:lang w:val="it-IT" w:eastAsia="it-IT" w:bidi="it-IT"/>
      </w:rPr>
    </w:lvl>
    <w:lvl w:ilvl="7">
      <w:start w:val="0"/>
      <w:numFmt w:val="bullet"/>
      <w:lvlText w:val=""/>
      <w:lvlJc w:val="left"/>
      <w:pPr>
        <w:tabs>
          <w:tab w:val="num" w:pos="0"/>
        </w:tabs>
        <w:ind w:left="7460" w:hanging="360"/>
      </w:pPr>
      <w:rPr>
        <w:rFonts w:ascii="Symbol" w:hAnsi="Symbol" w:cs="Symbol" w:hint="default"/>
        <w:lang w:val="it-IT" w:eastAsia="it-IT" w:bidi="it-IT"/>
      </w:rPr>
    </w:lvl>
    <w:lvl w:ilvl="8">
      <w:start w:val="0"/>
      <w:numFmt w:val="bullet"/>
      <w:lvlText w:val=""/>
      <w:lvlJc w:val="left"/>
      <w:pPr>
        <w:tabs>
          <w:tab w:val="num" w:pos="0"/>
        </w:tabs>
        <w:ind w:left="8389" w:hanging="360"/>
      </w:pPr>
      <w:rPr>
        <w:rFonts w:ascii="Symbol" w:hAnsi="Symbol" w:cs="Symbol" w:hint="default"/>
        <w:lang w:val="it-IT" w:eastAsia="it-IT" w:bidi="it-IT"/>
      </w:rPr>
    </w:lvl>
  </w:abstractNum>
  <w:abstractNum w:abstractNumId="14">
    <w:lvl w:ilvl="0">
      <w:start w:val="1"/>
      <w:numFmt w:val="decimal"/>
      <w:lvlText w:val="%1."/>
      <w:lvlJc w:val="left"/>
      <w:pPr>
        <w:tabs>
          <w:tab w:val="num" w:pos="0"/>
        </w:tabs>
        <w:ind w:left="593" w:hanging="361"/>
      </w:pPr>
      <w:rPr>
        <w:sz w:val="22"/>
        <w:spacing w:val="-3"/>
        <w:szCs w:val="22"/>
        <w:w w:val="100"/>
        <w:rFonts w:ascii="Calibri" w:hAnsi="Calibri" w:eastAsia="Calibri" w:cs="Calibri"/>
        <w:lang w:val="it-IT" w:eastAsia="it-IT" w:bidi="it-IT"/>
      </w:rPr>
    </w:lvl>
    <w:lvl w:ilvl="1">
      <w:start w:val="0"/>
      <w:numFmt w:val="bullet"/>
      <w:lvlText w:val="-"/>
      <w:lvlJc w:val="left"/>
      <w:pPr>
        <w:tabs>
          <w:tab w:val="num" w:pos="0"/>
        </w:tabs>
        <w:ind w:left="953" w:hanging="360"/>
      </w:pPr>
      <w:rPr>
        <w:rFonts w:ascii="Cambria" w:hAnsi="Cambria" w:cs="Cambria" w:hint="default"/>
        <w:sz w:val="24"/>
        <w:spacing w:val="-3"/>
        <w:szCs w:val="24"/>
        <w:w w:val="100"/>
        <w:lang w:val="it-IT" w:eastAsia="it-IT" w:bidi="it-IT"/>
      </w:rPr>
    </w:lvl>
    <w:lvl w:ilvl="2">
      <w:start w:val="0"/>
      <w:numFmt w:val="bullet"/>
      <w:lvlText w:val=""/>
      <w:lvlJc w:val="left"/>
      <w:pPr>
        <w:tabs>
          <w:tab w:val="num" w:pos="0"/>
        </w:tabs>
        <w:ind w:left="1991" w:hanging="360"/>
      </w:pPr>
      <w:rPr>
        <w:rFonts w:ascii="Symbol" w:hAnsi="Symbol" w:cs="Symbol" w:hint="default"/>
        <w:lang w:val="it-IT" w:eastAsia="it-IT" w:bidi="it-IT"/>
      </w:rPr>
    </w:lvl>
    <w:lvl w:ilvl="3">
      <w:start w:val="0"/>
      <w:numFmt w:val="bullet"/>
      <w:lvlText w:val=""/>
      <w:lvlJc w:val="left"/>
      <w:pPr>
        <w:tabs>
          <w:tab w:val="num" w:pos="0"/>
        </w:tabs>
        <w:ind w:left="3023" w:hanging="360"/>
      </w:pPr>
      <w:rPr>
        <w:rFonts w:ascii="Symbol" w:hAnsi="Symbol" w:cs="Symbol" w:hint="default"/>
        <w:lang w:val="it-IT" w:eastAsia="it-IT" w:bidi="it-IT"/>
      </w:rPr>
    </w:lvl>
    <w:lvl w:ilvl="4">
      <w:start w:val="0"/>
      <w:numFmt w:val="bullet"/>
      <w:lvlText w:val=""/>
      <w:lvlJc w:val="left"/>
      <w:pPr>
        <w:tabs>
          <w:tab w:val="num" w:pos="0"/>
        </w:tabs>
        <w:ind w:left="4055" w:hanging="360"/>
      </w:pPr>
      <w:rPr>
        <w:rFonts w:ascii="Symbol" w:hAnsi="Symbol" w:cs="Symbol" w:hint="default"/>
        <w:lang w:val="it-IT" w:eastAsia="it-IT" w:bidi="it-IT"/>
      </w:rPr>
    </w:lvl>
    <w:lvl w:ilvl="5">
      <w:start w:val="0"/>
      <w:numFmt w:val="bullet"/>
      <w:lvlText w:val=""/>
      <w:lvlJc w:val="left"/>
      <w:pPr>
        <w:tabs>
          <w:tab w:val="num" w:pos="0"/>
        </w:tabs>
        <w:ind w:left="5087" w:hanging="360"/>
      </w:pPr>
      <w:rPr>
        <w:rFonts w:ascii="Symbol" w:hAnsi="Symbol" w:cs="Symbol" w:hint="default"/>
        <w:lang w:val="it-IT" w:eastAsia="it-IT" w:bidi="it-IT"/>
      </w:rPr>
    </w:lvl>
    <w:lvl w:ilvl="6">
      <w:start w:val="0"/>
      <w:numFmt w:val="bullet"/>
      <w:lvlText w:val=""/>
      <w:lvlJc w:val="left"/>
      <w:pPr>
        <w:tabs>
          <w:tab w:val="num" w:pos="0"/>
        </w:tabs>
        <w:ind w:left="6119" w:hanging="360"/>
      </w:pPr>
      <w:rPr>
        <w:rFonts w:ascii="Symbol" w:hAnsi="Symbol" w:cs="Symbol" w:hint="default"/>
        <w:lang w:val="it-IT" w:eastAsia="it-IT" w:bidi="it-IT"/>
      </w:rPr>
    </w:lvl>
    <w:lvl w:ilvl="7">
      <w:start w:val="0"/>
      <w:numFmt w:val="bullet"/>
      <w:lvlText w:val=""/>
      <w:lvlJc w:val="left"/>
      <w:pPr>
        <w:tabs>
          <w:tab w:val="num" w:pos="0"/>
        </w:tabs>
        <w:ind w:left="7150" w:hanging="360"/>
      </w:pPr>
      <w:rPr>
        <w:rFonts w:ascii="Symbol" w:hAnsi="Symbol" w:cs="Symbol" w:hint="default"/>
        <w:lang w:val="it-IT" w:eastAsia="it-IT" w:bidi="it-IT"/>
      </w:rPr>
    </w:lvl>
    <w:lvl w:ilvl="8">
      <w:start w:val="0"/>
      <w:numFmt w:val="bullet"/>
      <w:lvlText w:val=""/>
      <w:lvlJc w:val="left"/>
      <w:pPr>
        <w:tabs>
          <w:tab w:val="num" w:pos="0"/>
        </w:tabs>
        <w:ind w:left="8182" w:hanging="360"/>
      </w:pPr>
      <w:rPr>
        <w:rFonts w:ascii="Symbol" w:hAnsi="Symbol" w:cs="Symbol" w:hint="default"/>
        <w:lang w:val="it-IT" w:eastAsia="it-IT" w:bidi="it-IT"/>
      </w:rPr>
    </w:lvl>
  </w:abstractNum>
  <w:abstractNum w:abstractNumId="15">
    <w:lvl w:ilvl="0">
      <w:start w:val="1"/>
      <w:numFmt w:val="decimal"/>
      <w:lvlText w:val="%1."/>
      <w:lvlJc w:val="left"/>
      <w:pPr>
        <w:tabs>
          <w:tab w:val="num" w:pos="0"/>
        </w:tabs>
        <w:ind w:left="593" w:hanging="361"/>
      </w:pPr>
      <w:rPr>
        <w:sz w:val="22"/>
        <w:spacing w:val="-27"/>
        <w:szCs w:val="22"/>
        <w:w w:val="100"/>
        <w:rFonts w:ascii="Calibri" w:hAnsi="Calibri" w:eastAsia="Calibri" w:cs="Calibri"/>
        <w:lang w:val="it-IT" w:eastAsia="it-IT" w:bidi="it-IT"/>
      </w:rPr>
    </w:lvl>
    <w:lvl w:ilvl="1">
      <w:start w:val="0"/>
      <w:numFmt w:val="bullet"/>
      <w:lvlText w:val=""/>
      <w:lvlJc w:val="left"/>
      <w:pPr>
        <w:tabs>
          <w:tab w:val="num" w:pos="0"/>
        </w:tabs>
        <w:ind w:left="1564" w:hanging="361"/>
      </w:pPr>
      <w:rPr>
        <w:rFonts w:ascii="Symbol" w:hAnsi="Symbol" w:cs="Symbol" w:hint="default"/>
        <w:lang w:val="it-IT" w:eastAsia="it-IT" w:bidi="it-IT"/>
      </w:rPr>
    </w:lvl>
    <w:lvl w:ilvl="2">
      <w:start w:val="0"/>
      <w:numFmt w:val="bullet"/>
      <w:lvlText w:val=""/>
      <w:lvlJc w:val="left"/>
      <w:pPr>
        <w:tabs>
          <w:tab w:val="num" w:pos="0"/>
        </w:tabs>
        <w:ind w:left="2529" w:hanging="361"/>
      </w:pPr>
      <w:rPr>
        <w:rFonts w:ascii="Symbol" w:hAnsi="Symbol" w:cs="Symbol" w:hint="default"/>
        <w:lang w:val="it-IT" w:eastAsia="it-IT" w:bidi="it-IT"/>
      </w:rPr>
    </w:lvl>
    <w:lvl w:ilvl="3">
      <w:start w:val="0"/>
      <w:numFmt w:val="bullet"/>
      <w:lvlText w:val=""/>
      <w:lvlJc w:val="left"/>
      <w:pPr>
        <w:tabs>
          <w:tab w:val="num" w:pos="0"/>
        </w:tabs>
        <w:ind w:left="3493" w:hanging="361"/>
      </w:pPr>
      <w:rPr>
        <w:rFonts w:ascii="Symbol" w:hAnsi="Symbol" w:cs="Symbol" w:hint="default"/>
        <w:lang w:val="it-IT" w:eastAsia="it-IT" w:bidi="it-IT"/>
      </w:rPr>
    </w:lvl>
    <w:lvl w:ilvl="4">
      <w:start w:val="0"/>
      <w:numFmt w:val="bullet"/>
      <w:lvlText w:val=""/>
      <w:lvlJc w:val="left"/>
      <w:pPr>
        <w:tabs>
          <w:tab w:val="num" w:pos="0"/>
        </w:tabs>
        <w:ind w:left="4458" w:hanging="361"/>
      </w:pPr>
      <w:rPr>
        <w:rFonts w:ascii="Symbol" w:hAnsi="Symbol" w:cs="Symbol" w:hint="default"/>
        <w:lang w:val="it-IT" w:eastAsia="it-IT" w:bidi="it-IT"/>
      </w:rPr>
    </w:lvl>
    <w:lvl w:ilvl="5">
      <w:start w:val="0"/>
      <w:numFmt w:val="bullet"/>
      <w:lvlText w:val=""/>
      <w:lvlJc w:val="left"/>
      <w:pPr>
        <w:tabs>
          <w:tab w:val="num" w:pos="0"/>
        </w:tabs>
        <w:ind w:left="5423" w:hanging="361"/>
      </w:pPr>
      <w:rPr>
        <w:rFonts w:ascii="Symbol" w:hAnsi="Symbol" w:cs="Symbol" w:hint="default"/>
        <w:lang w:val="it-IT" w:eastAsia="it-IT" w:bidi="it-IT"/>
      </w:rPr>
    </w:lvl>
    <w:lvl w:ilvl="6">
      <w:start w:val="0"/>
      <w:numFmt w:val="bullet"/>
      <w:lvlText w:val=""/>
      <w:lvlJc w:val="left"/>
      <w:pPr>
        <w:tabs>
          <w:tab w:val="num" w:pos="0"/>
        </w:tabs>
        <w:ind w:left="6387" w:hanging="361"/>
      </w:pPr>
      <w:rPr>
        <w:rFonts w:ascii="Symbol" w:hAnsi="Symbol" w:cs="Symbol" w:hint="default"/>
        <w:lang w:val="it-IT" w:eastAsia="it-IT" w:bidi="it-IT"/>
      </w:rPr>
    </w:lvl>
    <w:lvl w:ilvl="7">
      <w:start w:val="0"/>
      <w:numFmt w:val="bullet"/>
      <w:lvlText w:val=""/>
      <w:lvlJc w:val="left"/>
      <w:pPr>
        <w:tabs>
          <w:tab w:val="num" w:pos="0"/>
        </w:tabs>
        <w:ind w:left="7352" w:hanging="361"/>
      </w:pPr>
      <w:rPr>
        <w:rFonts w:ascii="Symbol" w:hAnsi="Symbol" w:cs="Symbol" w:hint="default"/>
        <w:lang w:val="it-IT" w:eastAsia="it-IT" w:bidi="it-IT"/>
      </w:rPr>
    </w:lvl>
    <w:lvl w:ilvl="8">
      <w:start w:val="0"/>
      <w:numFmt w:val="bullet"/>
      <w:lvlText w:val=""/>
      <w:lvlJc w:val="left"/>
      <w:pPr>
        <w:tabs>
          <w:tab w:val="num" w:pos="0"/>
        </w:tabs>
        <w:ind w:left="8317" w:hanging="361"/>
      </w:pPr>
      <w:rPr>
        <w:rFonts w:ascii="Symbol" w:hAnsi="Symbol" w:cs="Symbol" w:hint="default"/>
        <w:lang w:val="it-IT" w:eastAsia="it-IT" w:bidi="it-IT"/>
      </w:rPr>
    </w:lvl>
  </w:abstractNum>
  <w:abstractNum w:abstractNumId="16">
    <w:lvl w:ilvl="0">
      <w:start w:val="1"/>
      <w:numFmt w:val="decimal"/>
      <w:lvlText w:val="%1."/>
      <w:lvlJc w:val="left"/>
      <w:pPr>
        <w:tabs>
          <w:tab w:val="num" w:pos="0"/>
        </w:tabs>
        <w:ind w:left="593" w:hanging="361"/>
      </w:pPr>
      <w:rPr>
        <w:sz w:val="22"/>
        <w:spacing w:val="-21"/>
        <w:szCs w:val="22"/>
        <w:w w:val="100"/>
        <w:rFonts w:ascii="Calibri" w:hAnsi="Calibri" w:eastAsia="Calibri" w:cs="Calibri"/>
        <w:lang w:val="it-IT" w:eastAsia="it-IT" w:bidi="it-IT"/>
      </w:rPr>
    </w:lvl>
    <w:lvl w:ilvl="1">
      <w:start w:val="1"/>
      <w:numFmt w:val="lowerLetter"/>
      <w:lvlText w:val="%2)"/>
      <w:lvlJc w:val="left"/>
      <w:pPr>
        <w:tabs>
          <w:tab w:val="num" w:pos="0"/>
        </w:tabs>
        <w:ind w:left="953" w:hanging="360"/>
      </w:pPr>
      <w:rPr>
        <w:sz w:val="24"/>
        <w:spacing w:val="-27"/>
        <w:szCs w:val="24"/>
        <w:w w:val="100"/>
        <w:rFonts w:ascii="Calibri" w:hAnsi="Calibri" w:eastAsia="Calibri" w:cs="Calibri"/>
        <w:lang w:val="it-IT" w:eastAsia="it-IT" w:bidi="it-IT"/>
      </w:rPr>
    </w:lvl>
    <w:lvl w:ilvl="2">
      <w:start w:val="0"/>
      <w:numFmt w:val="bullet"/>
      <w:lvlText w:val=""/>
      <w:lvlJc w:val="left"/>
      <w:pPr>
        <w:tabs>
          <w:tab w:val="num" w:pos="0"/>
        </w:tabs>
        <w:ind w:left="1991" w:hanging="360"/>
      </w:pPr>
      <w:rPr>
        <w:rFonts w:ascii="Symbol" w:hAnsi="Symbol" w:cs="Symbol" w:hint="default"/>
        <w:lang w:val="it-IT" w:eastAsia="it-IT" w:bidi="it-IT"/>
      </w:rPr>
    </w:lvl>
    <w:lvl w:ilvl="3">
      <w:start w:val="0"/>
      <w:numFmt w:val="bullet"/>
      <w:lvlText w:val=""/>
      <w:lvlJc w:val="left"/>
      <w:pPr>
        <w:tabs>
          <w:tab w:val="num" w:pos="0"/>
        </w:tabs>
        <w:ind w:left="3023" w:hanging="360"/>
      </w:pPr>
      <w:rPr>
        <w:rFonts w:ascii="Symbol" w:hAnsi="Symbol" w:cs="Symbol" w:hint="default"/>
        <w:lang w:val="it-IT" w:eastAsia="it-IT" w:bidi="it-IT"/>
      </w:rPr>
    </w:lvl>
    <w:lvl w:ilvl="4">
      <w:start w:val="0"/>
      <w:numFmt w:val="bullet"/>
      <w:lvlText w:val=""/>
      <w:lvlJc w:val="left"/>
      <w:pPr>
        <w:tabs>
          <w:tab w:val="num" w:pos="0"/>
        </w:tabs>
        <w:ind w:left="4055" w:hanging="360"/>
      </w:pPr>
      <w:rPr>
        <w:rFonts w:ascii="Symbol" w:hAnsi="Symbol" w:cs="Symbol" w:hint="default"/>
        <w:lang w:val="it-IT" w:eastAsia="it-IT" w:bidi="it-IT"/>
      </w:rPr>
    </w:lvl>
    <w:lvl w:ilvl="5">
      <w:start w:val="0"/>
      <w:numFmt w:val="bullet"/>
      <w:lvlText w:val=""/>
      <w:lvlJc w:val="left"/>
      <w:pPr>
        <w:tabs>
          <w:tab w:val="num" w:pos="0"/>
        </w:tabs>
        <w:ind w:left="5087" w:hanging="360"/>
      </w:pPr>
      <w:rPr>
        <w:rFonts w:ascii="Symbol" w:hAnsi="Symbol" w:cs="Symbol" w:hint="default"/>
        <w:lang w:val="it-IT" w:eastAsia="it-IT" w:bidi="it-IT"/>
      </w:rPr>
    </w:lvl>
    <w:lvl w:ilvl="6">
      <w:start w:val="0"/>
      <w:numFmt w:val="bullet"/>
      <w:lvlText w:val=""/>
      <w:lvlJc w:val="left"/>
      <w:pPr>
        <w:tabs>
          <w:tab w:val="num" w:pos="0"/>
        </w:tabs>
        <w:ind w:left="6119" w:hanging="360"/>
      </w:pPr>
      <w:rPr>
        <w:rFonts w:ascii="Symbol" w:hAnsi="Symbol" w:cs="Symbol" w:hint="default"/>
        <w:lang w:val="it-IT" w:eastAsia="it-IT" w:bidi="it-IT"/>
      </w:rPr>
    </w:lvl>
    <w:lvl w:ilvl="7">
      <w:start w:val="0"/>
      <w:numFmt w:val="bullet"/>
      <w:lvlText w:val=""/>
      <w:lvlJc w:val="left"/>
      <w:pPr>
        <w:tabs>
          <w:tab w:val="num" w:pos="0"/>
        </w:tabs>
        <w:ind w:left="7150" w:hanging="360"/>
      </w:pPr>
      <w:rPr>
        <w:rFonts w:ascii="Symbol" w:hAnsi="Symbol" w:cs="Symbol" w:hint="default"/>
        <w:lang w:val="it-IT" w:eastAsia="it-IT" w:bidi="it-IT"/>
      </w:rPr>
    </w:lvl>
    <w:lvl w:ilvl="8">
      <w:start w:val="0"/>
      <w:numFmt w:val="bullet"/>
      <w:lvlText w:val=""/>
      <w:lvlJc w:val="left"/>
      <w:pPr>
        <w:tabs>
          <w:tab w:val="num" w:pos="0"/>
        </w:tabs>
        <w:ind w:left="8182" w:hanging="360"/>
      </w:pPr>
      <w:rPr>
        <w:rFonts w:ascii="Symbol" w:hAnsi="Symbol" w:cs="Symbol" w:hint="default"/>
        <w:lang w:val="it-IT" w:eastAsia="it-IT" w:bidi="it-IT"/>
      </w:rPr>
    </w:lvl>
  </w:abstractNum>
  <w:abstractNum w:abstractNumId="17">
    <w:lvl w:ilvl="0">
      <w:start w:val="1"/>
      <w:numFmt w:val="decimal"/>
      <w:lvlText w:val="%1."/>
      <w:lvlJc w:val="left"/>
      <w:pPr>
        <w:tabs>
          <w:tab w:val="num" w:pos="0"/>
        </w:tabs>
        <w:ind w:left="593" w:hanging="361"/>
      </w:pPr>
      <w:rPr>
        <w:sz w:val="22"/>
        <w:spacing w:val="-26"/>
        <w:szCs w:val="22"/>
        <w:w w:val="100"/>
        <w:rFonts w:ascii="Calibri" w:hAnsi="Calibri" w:eastAsia="Calibri" w:cs="Calibri"/>
        <w:lang w:val="it-IT" w:eastAsia="it-IT" w:bidi="it-IT"/>
      </w:rPr>
    </w:lvl>
    <w:lvl w:ilvl="1">
      <w:start w:val="1"/>
      <w:numFmt w:val="lowerLetter"/>
      <w:lvlText w:val="%2)"/>
      <w:lvlJc w:val="left"/>
      <w:pPr>
        <w:tabs>
          <w:tab w:val="num" w:pos="0"/>
        </w:tabs>
        <w:ind w:left="953" w:hanging="416"/>
      </w:pPr>
      <w:rPr>
        <w:sz w:val="24"/>
        <w:spacing w:val="-3"/>
        <w:szCs w:val="24"/>
        <w:w w:val="100"/>
        <w:rFonts w:ascii="Calibri" w:hAnsi="Calibri" w:eastAsia="Calibri" w:cs="Calibri"/>
        <w:lang w:val="it-IT" w:eastAsia="it-IT" w:bidi="it-IT"/>
      </w:rPr>
    </w:lvl>
    <w:lvl w:ilvl="2">
      <w:start w:val="0"/>
      <w:numFmt w:val="bullet"/>
      <w:lvlText w:val=""/>
      <w:lvlJc w:val="left"/>
      <w:pPr>
        <w:tabs>
          <w:tab w:val="num" w:pos="0"/>
        </w:tabs>
        <w:ind w:left="1991" w:hanging="416"/>
      </w:pPr>
      <w:rPr>
        <w:rFonts w:ascii="Symbol" w:hAnsi="Symbol" w:cs="Symbol" w:hint="default"/>
        <w:lang w:val="it-IT" w:eastAsia="it-IT" w:bidi="it-IT"/>
      </w:rPr>
    </w:lvl>
    <w:lvl w:ilvl="3">
      <w:start w:val="0"/>
      <w:numFmt w:val="bullet"/>
      <w:lvlText w:val=""/>
      <w:lvlJc w:val="left"/>
      <w:pPr>
        <w:tabs>
          <w:tab w:val="num" w:pos="0"/>
        </w:tabs>
        <w:ind w:left="3023" w:hanging="416"/>
      </w:pPr>
      <w:rPr>
        <w:rFonts w:ascii="Symbol" w:hAnsi="Symbol" w:cs="Symbol" w:hint="default"/>
        <w:lang w:val="it-IT" w:eastAsia="it-IT" w:bidi="it-IT"/>
      </w:rPr>
    </w:lvl>
    <w:lvl w:ilvl="4">
      <w:start w:val="0"/>
      <w:numFmt w:val="bullet"/>
      <w:lvlText w:val=""/>
      <w:lvlJc w:val="left"/>
      <w:pPr>
        <w:tabs>
          <w:tab w:val="num" w:pos="0"/>
        </w:tabs>
        <w:ind w:left="4055" w:hanging="416"/>
      </w:pPr>
      <w:rPr>
        <w:rFonts w:ascii="Symbol" w:hAnsi="Symbol" w:cs="Symbol" w:hint="default"/>
        <w:lang w:val="it-IT" w:eastAsia="it-IT" w:bidi="it-IT"/>
      </w:rPr>
    </w:lvl>
    <w:lvl w:ilvl="5">
      <w:start w:val="0"/>
      <w:numFmt w:val="bullet"/>
      <w:lvlText w:val=""/>
      <w:lvlJc w:val="left"/>
      <w:pPr>
        <w:tabs>
          <w:tab w:val="num" w:pos="0"/>
        </w:tabs>
        <w:ind w:left="5087" w:hanging="416"/>
      </w:pPr>
      <w:rPr>
        <w:rFonts w:ascii="Symbol" w:hAnsi="Symbol" w:cs="Symbol" w:hint="default"/>
        <w:lang w:val="it-IT" w:eastAsia="it-IT" w:bidi="it-IT"/>
      </w:rPr>
    </w:lvl>
    <w:lvl w:ilvl="6">
      <w:start w:val="0"/>
      <w:numFmt w:val="bullet"/>
      <w:lvlText w:val=""/>
      <w:lvlJc w:val="left"/>
      <w:pPr>
        <w:tabs>
          <w:tab w:val="num" w:pos="0"/>
        </w:tabs>
        <w:ind w:left="6119" w:hanging="416"/>
      </w:pPr>
      <w:rPr>
        <w:rFonts w:ascii="Symbol" w:hAnsi="Symbol" w:cs="Symbol" w:hint="default"/>
        <w:lang w:val="it-IT" w:eastAsia="it-IT" w:bidi="it-IT"/>
      </w:rPr>
    </w:lvl>
    <w:lvl w:ilvl="7">
      <w:start w:val="0"/>
      <w:numFmt w:val="bullet"/>
      <w:lvlText w:val=""/>
      <w:lvlJc w:val="left"/>
      <w:pPr>
        <w:tabs>
          <w:tab w:val="num" w:pos="0"/>
        </w:tabs>
        <w:ind w:left="7150" w:hanging="416"/>
      </w:pPr>
      <w:rPr>
        <w:rFonts w:ascii="Symbol" w:hAnsi="Symbol" w:cs="Symbol" w:hint="default"/>
        <w:lang w:val="it-IT" w:eastAsia="it-IT" w:bidi="it-IT"/>
      </w:rPr>
    </w:lvl>
    <w:lvl w:ilvl="8">
      <w:start w:val="0"/>
      <w:numFmt w:val="bullet"/>
      <w:lvlText w:val=""/>
      <w:lvlJc w:val="left"/>
      <w:pPr>
        <w:tabs>
          <w:tab w:val="num" w:pos="0"/>
        </w:tabs>
        <w:ind w:left="8182" w:hanging="416"/>
      </w:pPr>
      <w:rPr>
        <w:rFonts w:ascii="Symbol" w:hAnsi="Symbol" w:cs="Symbol" w:hint="default"/>
        <w:lang w:val="it-IT" w:eastAsia="it-IT" w:bidi="it-IT"/>
      </w:rPr>
    </w:lvl>
  </w:abstractNum>
  <w:abstractNum w:abstractNumId="18">
    <w:lvl w:ilvl="0">
      <w:start w:val="1"/>
      <w:numFmt w:val="decimal"/>
      <w:lvlText w:val="%1."/>
      <w:lvlJc w:val="left"/>
      <w:pPr>
        <w:tabs>
          <w:tab w:val="num" w:pos="0"/>
        </w:tabs>
        <w:ind w:left="593" w:hanging="361"/>
      </w:pPr>
      <w:rPr>
        <w:sz w:val="24"/>
        <w:spacing w:val="-3"/>
        <w:szCs w:val="24"/>
        <w:w w:val="100"/>
        <w:rFonts w:ascii="Calibri" w:hAnsi="Calibri" w:eastAsia="Calibri" w:cs="Calibri"/>
        <w:lang w:val="it-IT" w:eastAsia="it-IT" w:bidi="it-IT"/>
      </w:rPr>
    </w:lvl>
    <w:lvl w:ilvl="1">
      <w:start w:val="1"/>
      <w:numFmt w:val="lowerLetter"/>
      <w:lvlText w:val="%2)"/>
      <w:lvlJc w:val="left"/>
      <w:pPr>
        <w:tabs>
          <w:tab w:val="num" w:pos="0"/>
        </w:tabs>
        <w:ind w:left="953" w:hanging="360"/>
      </w:pPr>
      <w:rPr>
        <w:sz w:val="22"/>
        <w:spacing w:val="-6"/>
        <w:b/>
        <w:szCs w:val="22"/>
        <w:w w:val="100"/>
        <w:rFonts w:ascii="Calibri" w:hAnsi="Calibri" w:eastAsia="Calibri" w:cs="Calibri"/>
        <w:lang w:val="it-IT" w:eastAsia="it-IT" w:bidi="it-IT"/>
      </w:rPr>
    </w:lvl>
    <w:lvl w:ilvl="2">
      <w:start w:val="0"/>
      <w:numFmt w:val="bullet"/>
      <w:lvlText w:val=""/>
      <w:lvlJc w:val="left"/>
      <w:pPr>
        <w:tabs>
          <w:tab w:val="num" w:pos="0"/>
        </w:tabs>
        <w:ind w:left="1991" w:hanging="360"/>
      </w:pPr>
      <w:rPr>
        <w:rFonts w:ascii="Symbol" w:hAnsi="Symbol" w:cs="Symbol" w:hint="default"/>
        <w:lang w:val="it-IT" w:eastAsia="it-IT" w:bidi="it-IT"/>
      </w:rPr>
    </w:lvl>
    <w:lvl w:ilvl="3">
      <w:start w:val="0"/>
      <w:numFmt w:val="bullet"/>
      <w:lvlText w:val=""/>
      <w:lvlJc w:val="left"/>
      <w:pPr>
        <w:tabs>
          <w:tab w:val="num" w:pos="0"/>
        </w:tabs>
        <w:ind w:left="3023" w:hanging="360"/>
      </w:pPr>
      <w:rPr>
        <w:rFonts w:ascii="Symbol" w:hAnsi="Symbol" w:cs="Symbol" w:hint="default"/>
        <w:lang w:val="it-IT" w:eastAsia="it-IT" w:bidi="it-IT"/>
      </w:rPr>
    </w:lvl>
    <w:lvl w:ilvl="4">
      <w:start w:val="0"/>
      <w:numFmt w:val="bullet"/>
      <w:lvlText w:val=""/>
      <w:lvlJc w:val="left"/>
      <w:pPr>
        <w:tabs>
          <w:tab w:val="num" w:pos="0"/>
        </w:tabs>
        <w:ind w:left="4055" w:hanging="360"/>
      </w:pPr>
      <w:rPr>
        <w:rFonts w:ascii="Symbol" w:hAnsi="Symbol" w:cs="Symbol" w:hint="default"/>
        <w:lang w:val="it-IT" w:eastAsia="it-IT" w:bidi="it-IT"/>
      </w:rPr>
    </w:lvl>
    <w:lvl w:ilvl="5">
      <w:start w:val="0"/>
      <w:numFmt w:val="bullet"/>
      <w:lvlText w:val=""/>
      <w:lvlJc w:val="left"/>
      <w:pPr>
        <w:tabs>
          <w:tab w:val="num" w:pos="0"/>
        </w:tabs>
        <w:ind w:left="5087" w:hanging="360"/>
      </w:pPr>
      <w:rPr>
        <w:rFonts w:ascii="Symbol" w:hAnsi="Symbol" w:cs="Symbol" w:hint="default"/>
        <w:lang w:val="it-IT" w:eastAsia="it-IT" w:bidi="it-IT"/>
      </w:rPr>
    </w:lvl>
    <w:lvl w:ilvl="6">
      <w:start w:val="0"/>
      <w:numFmt w:val="bullet"/>
      <w:lvlText w:val=""/>
      <w:lvlJc w:val="left"/>
      <w:pPr>
        <w:tabs>
          <w:tab w:val="num" w:pos="0"/>
        </w:tabs>
        <w:ind w:left="6119" w:hanging="360"/>
      </w:pPr>
      <w:rPr>
        <w:rFonts w:ascii="Symbol" w:hAnsi="Symbol" w:cs="Symbol" w:hint="default"/>
        <w:lang w:val="it-IT" w:eastAsia="it-IT" w:bidi="it-IT"/>
      </w:rPr>
    </w:lvl>
    <w:lvl w:ilvl="7">
      <w:start w:val="0"/>
      <w:numFmt w:val="bullet"/>
      <w:lvlText w:val=""/>
      <w:lvlJc w:val="left"/>
      <w:pPr>
        <w:tabs>
          <w:tab w:val="num" w:pos="0"/>
        </w:tabs>
        <w:ind w:left="7150" w:hanging="360"/>
      </w:pPr>
      <w:rPr>
        <w:rFonts w:ascii="Symbol" w:hAnsi="Symbol" w:cs="Symbol" w:hint="default"/>
        <w:lang w:val="it-IT" w:eastAsia="it-IT" w:bidi="it-IT"/>
      </w:rPr>
    </w:lvl>
    <w:lvl w:ilvl="8">
      <w:start w:val="0"/>
      <w:numFmt w:val="bullet"/>
      <w:lvlText w:val=""/>
      <w:lvlJc w:val="left"/>
      <w:pPr>
        <w:tabs>
          <w:tab w:val="num" w:pos="0"/>
        </w:tabs>
        <w:ind w:left="8182" w:hanging="360"/>
      </w:pPr>
      <w:rPr>
        <w:rFonts w:ascii="Symbol" w:hAnsi="Symbol" w:cs="Symbol" w:hint="default"/>
        <w:lang w:val="it-IT" w:eastAsia="it-IT" w:bidi="it-IT"/>
      </w:rPr>
    </w:lvl>
  </w:abstractNum>
  <w:abstractNum w:abstractNumId="1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sz w:val="22"/>
        <w:b/>
        <w:szCs w:val="22"/>
        <w:w w:val="100"/>
        <w:rFonts w:ascii="Calibri" w:hAnsi="Calibri" w:eastAsia="Calibri" w:cs="Calibri"/>
        <w:lang w:val="it-IT" w:eastAsia="it-IT" w:bidi="it-I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953" w:hanging="360"/>
      </w:pPr>
      <w:rPr>
        <w:sz w:val="22"/>
        <w:spacing w:val="-3"/>
        <w:b/>
        <w:szCs w:val="22"/>
        <w:w w:val="100"/>
        <w:rFonts w:ascii="Calibri" w:hAnsi="Calibri" w:eastAsia="Calibri" w:cs="Calibri"/>
        <w:lang w:val="it-IT" w:eastAsia="it-IT" w:bidi="it-IT"/>
      </w:rPr>
    </w:lvl>
    <w:lvl w:ilvl="1">
      <w:start w:val="1"/>
      <w:numFmt w:val="lowerRoman"/>
      <w:lvlText w:val="%2."/>
      <w:lvlJc w:val="left"/>
      <w:pPr>
        <w:tabs>
          <w:tab w:val="num" w:pos="0"/>
        </w:tabs>
        <w:ind w:left="1673" w:hanging="476"/>
      </w:pPr>
      <w:rPr>
        <w:sz w:val="22"/>
        <w:spacing w:val="-21"/>
        <w:szCs w:val="22"/>
        <w:w w:val="100"/>
        <w:rFonts w:ascii="Calibri" w:hAnsi="Calibri" w:eastAsia="Calibri" w:cs="Calibri"/>
        <w:lang w:val="it-IT" w:eastAsia="it-IT" w:bidi="it-IT"/>
      </w:rPr>
    </w:lvl>
    <w:lvl w:ilvl="2">
      <w:start w:val="0"/>
      <w:numFmt w:val="bullet"/>
      <w:lvlText w:val=""/>
      <w:lvlJc w:val="left"/>
      <w:pPr>
        <w:tabs>
          <w:tab w:val="num" w:pos="0"/>
        </w:tabs>
        <w:ind w:left="2631" w:hanging="476"/>
      </w:pPr>
      <w:rPr>
        <w:rFonts w:ascii="Symbol" w:hAnsi="Symbol" w:cs="Symbol" w:hint="default"/>
        <w:lang w:val="it-IT" w:eastAsia="it-IT" w:bidi="it-IT"/>
      </w:rPr>
    </w:lvl>
    <w:lvl w:ilvl="3">
      <w:start w:val="0"/>
      <w:numFmt w:val="bullet"/>
      <w:lvlText w:val=""/>
      <w:lvlJc w:val="left"/>
      <w:pPr>
        <w:tabs>
          <w:tab w:val="num" w:pos="0"/>
        </w:tabs>
        <w:ind w:left="3583" w:hanging="476"/>
      </w:pPr>
      <w:rPr>
        <w:rFonts w:ascii="Symbol" w:hAnsi="Symbol" w:cs="Symbol" w:hint="default"/>
        <w:lang w:val="it-IT" w:eastAsia="it-IT" w:bidi="it-IT"/>
      </w:rPr>
    </w:lvl>
    <w:lvl w:ilvl="4">
      <w:start w:val="0"/>
      <w:numFmt w:val="bullet"/>
      <w:lvlText w:val=""/>
      <w:lvlJc w:val="left"/>
      <w:pPr>
        <w:tabs>
          <w:tab w:val="num" w:pos="0"/>
        </w:tabs>
        <w:ind w:left="4535" w:hanging="476"/>
      </w:pPr>
      <w:rPr>
        <w:rFonts w:ascii="Symbol" w:hAnsi="Symbol" w:cs="Symbol" w:hint="default"/>
        <w:lang w:val="it-IT" w:eastAsia="it-IT" w:bidi="it-IT"/>
      </w:rPr>
    </w:lvl>
    <w:lvl w:ilvl="5">
      <w:start w:val="0"/>
      <w:numFmt w:val="bullet"/>
      <w:lvlText w:val=""/>
      <w:lvlJc w:val="left"/>
      <w:pPr>
        <w:tabs>
          <w:tab w:val="num" w:pos="0"/>
        </w:tabs>
        <w:ind w:left="5487" w:hanging="476"/>
      </w:pPr>
      <w:rPr>
        <w:rFonts w:ascii="Symbol" w:hAnsi="Symbol" w:cs="Symbol" w:hint="default"/>
        <w:lang w:val="it-IT" w:eastAsia="it-IT" w:bidi="it-IT"/>
      </w:rPr>
    </w:lvl>
    <w:lvl w:ilvl="6">
      <w:start w:val="0"/>
      <w:numFmt w:val="bullet"/>
      <w:lvlText w:val=""/>
      <w:lvlJc w:val="left"/>
      <w:pPr>
        <w:tabs>
          <w:tab w:val="num" w:pos="0"/>
        </w:tabs>
        <w:ind w:left="6439" w:hanging="476"/>
      </w:pPr>
      <w:rPr>
        <w:rFonts w:ascii="Symbol" w:hAnsi="Symbol" w:cs="Symbol" w:hint="default"/>
        <w:lang w:val="it-IT" w:eastAsia="it-IT" w:bidi="it-IT"/>
      </w:rPr>
    </w:lvl>
    <w:lvl w:ilvl="7">
      <w:start w:val="0"/>
      <w:numFmt w:val="bullet"/>
      <w:lvlText w:val=""/>
      <w:lvlJc w:val="left"/>
      <w:pPr>
        <w:tabs>
          <w:tab w:val="num" w:pos="0"/>
        </w:tabs>
        <w:ind w:left="7390" w:hanging="476"/>
      </w:pPr>
      <w:rPr>
        <w:rFonts w:ascii="Symbol" w:hAnsi="Symbol" w:cs="Symbol" w:hint="default"/>
        <w:lang w:val="it-IT" w:eastAsia="it-IT" w:bidi="it-IT"/>
      </w:rPr>
    </w:lvl>
    <w:lvl w:ilvl="8">
      <w:start w:val="0"/>
      <w:numFmt w:val="bullet"/>
      <w:lvlText w:val=""/>
      <w:lvlJc w:val="left"/>
      <w:pPr>
        <w:tabs>
          <w:tab w:val="num" w:pos="0"/>
        </w:tabs>
        <w:ind w:left="8342" w:hanging="476"/>
      </w:pPr>
      <w:rPr>
        <w:rFonts w:ascii="Symbol" w:hAnsi="Symbol" w:cs="Symbol" w:hint="default"/>
        <w:lang w:val="it-IT" w:eastAsia="it-IT" w:bidi="it-IT"/>
      </w:rPr>
    </w:lvl>
  </w:abstractNum>
  <w:abstractNum w:abstractNumId="22">
    <w:lvl w:ilvl="0">
      <w:start w:val="1"/>
      <w:numFmt w:val="lowerLetter"/>
      <w:lvlText w:val="%1)"/>
      <w:lvlJc w:val="left"/>
      <w:pPr>
        <w:tabs>
          <w:tab w:val="num" w:pos="0"/>
        </w:tabs>
        <w:ind w:left="953" w:hanging="360"/>
      </w:pPr>
      <w:rPr>
        <w:sz w:val="22"/>
        <w:spacing w:val="-13"/>
        <w:szCs w:val="22"/>
        <w:w w:val="100"/>
        <w:rFonts w:ascii="Calibri" w:hAnsi="Calibri" w:eastAsia="Calibri" w:cs="Calibri"/>
        <w:lang w:val="it-IT" w:eastAsia="it-IT" w:bidi="it-IT"/>
      </w:rPr>
    </w:lvl>
    <w:lvl w:ilvl="1">
      <w:start w:val="0"/>
      <w:numFmt w:val="bullet"/>
      <w:lvlText w:val=""/>
      <w:lvlJc w:val="left"/>
      <w:pPr>
        <w:tabs>
          <w:tab w:val="num" w:pos="0"/>
        </w:tabs>
        <w:ind w:left="1888" w:hanging="360"/>
      </w:pPr>
      <w:rPr>
        <w:rFonts w:ascii="Symbol" w:hAnsi="Symbol" w:cs="Symbol" w:hint="default"/>
        <w:lang w:val="it-IT" w:eastAsia="it-IT" w:bidi="it-IT"/>
      </w:rPr>
    </w:lvl>
    <w:lvl w:ilvl="2">
      <w:start w:val="0"/>
      <w:numFmt w:val="bullet"/>
      <w:lvlText w:val=""/>
      <w:lvlJc w:val="left"/>
      <w:pPr>
        <w:tabs>
          <w:tab w:val="num" w:pos="0"/>
        </w:tabs>
        <w:ind w:left="2817" w:hanging="360"/>
      </w:pPr>
      <w:rPr>
        <w:rFonts w:ascii="Symbol" w:hAnsi="Symbol" w:cs="Symbol" w:hint="default"/>
        <w:lang w:val="it-IT" w:eastAsia="it-IT" w:bidi="it-IT"/>
      </w:rPr>
    </w:lvl>
    <w:lvl w:ilvl="3">
      <w:start w:val="0"/>
      <w:numFmt w:val="bullet"/>
      <w:lvlText w:val=""/>
      <w:lvlJc w:val="left"/>
      <w:pPr>
        <w:tabs>
          <w:tab w:val="num" w:pos="0"/>
        </w:tabs>
        <w:ind w:left="3745" w:hanging="360"/>
      </w:pPr>
      <w:rPr>
        <w:rFonts w:ascii="Symbol" w:hAnsi="Symbol" w:cs="Symbol" w:hint="default"/>
        <w:lang w:val="it-IT" w:eastAsia="it-IT" w:bidi="it-IT"/>
      </w:rPr>
    </w:lvl>
    <w:lvl w:ilvl="4">
      <w:start w:val="0"/>
      <w:numFmt w:val="bullet"/>
      <w:lvlText w:val=""/>
      <w:lvlJc w:val="left"/>
      <w:pPr>
        <w:tabs>
          <w:tab w:val="num" w:pos="0"/>
        </w:tabs>
        <w:ind w:left="4674" w:hanging="360"/>
      </w:pPr>
      <w:rPr>
        <w:rFonts w:ascii="Symbol" w:hAnsi="Symbol" w:cs="Symbol" w:hint="default"/>
        <w:lang w:val="it-IT" w:eastAsia="it-IT" w:bidi="it-IT"/>
      </w:rPr>
    </w:lvl>
    <w:lvl w:ilvl="5">
      <w:start w:val="0"/>
      <w:numFmt w:val="bullet"/>
      <w:lvlText w:val=""/>
      <w:lvlJc w:val="left"/>
      <w:pPr>
        <w:tabs>
          <w:tab w:val="num" w:pos="0"/>
        </w:tabs>
        <w:ind w:left="5603" w:hanging="360"/>
      </w:pPr>
      <w:rPr>
        <w:rFonts w:ascii="Symbol" w:hAnsi="Symbol" w:cs="Symbol" w:hint="default"/>
        <w:lang w:val="it-IT" w:eastAsia="it-IT" w:bidi="it-IT"/>
      </w:rPr>
    </w:lvl>
    <w:lvl w:ilvl="6">
      <w:start w:val="0"/>
      <w:numFmt w:val="bullet"/>
      <w:lvlText w:val=""/>
      <w:lvlJc w:val="left"/>
      <w:pPr>
        <w:tabs>
          <w:tab w:val="num" w:pos="0"/>
        </w:tabs>
        <w:ind w:left="6531" w:hanging="360"/>
      </w:pPr>
      <w:rPr>
        <w:rFonts w:ascii="Symbol" w:hAnsi="Symbol" w:cs="Symbol" w:hint="default"/>
        <w:lang w:val="it-IT" w:eastAsia="it-IT" w:bidi="it-IT"/>
      </w:rPr>
    </w:lvl>
    <w:lvl w:ilvl="7">
      <w:start w:val="0"/>
      <w:numFmt w:val="bullet"/>
      <w:lvlText w:val=""/>
      <w:lvlJc w:val="left"/>
      <w:pPr>
        <w:tabs>
          <w:tab w:val="num" w:pos="0"/>
        </w:tabs>
        <w:ind w:left="7460" w:hanging="360"/>
      </w:pPr>
      <w:rPr>
        <w:rFonts w:ascii="Symbol" w:hAnsi="Symbol" w:cs="Symbol" w:hint="default"/>
        <w:lang w:val="it-IT" w:eastAsia="it-IT" w:bidi="it-IT"/>
      </w:rPr>
    </w:lvl>
    <w:lvl w:ilvl="8">
      <w:start w:val="0"/>
      <w:numFmt w:val="bullet"/>
      <w:lvlText w:val=""/>
      <w:lvlJc w:val="left"/>
      <w:pPr>
        <w:tabs>
          <w:tab w:val="num" w:pos="0"/>
        </w:tabs>
        <w:ind w:left="8389" w:hanging="360"/>
      </w:pPr>
      <w:rPr>
        <w:rFonts w:ascii="Symbol" w:hAnsi="Symbol" w:cs="Symbol" w:hint="default"/>
        <w:lang w:val="it-IT" w:eastAsia="it-IT" w:bidi="it-IT"/>
      </w:rPr>
    </w:lvl>
  </w:abstractNum>
  <w:abstractNum w:abstractNumId="23">
    <w:lvl w:ilvl="0">
      <w:start w:val="1"/>
      <w:numFmt w:val="lowerLetter"/>
      <w:lvlText w:val="%1)"/>
      <w:lvlJc w:val="left"/>
      <w:pPr>
        <w:tabs>
          <w:tab w:val="num" w:pos="0"/>
        </w:tabs>
        <w:ind w:left="953" w:hanging="360"/>
      </w:pPr>
      <w:rPr>
        <w:sz w:val="22"/>
        <w:spacing w:val="-4"/>
        <w:szCs w:val="22"/>
        <w:w w:val="100"/>
        <w:rFonts w:ascii="Calibri" w:hAnsi="Calibri" w:eastAsia="Calibri" w:cs="Calibri"/>
        <w:lang w:val="it-IT" w:eastAsia="it-IT" w:bidi="it-IT"/>
      </w:rPr>
    </w:lvl>
    <w:lvl w:ilvl="1">
      <w:start w:val="1"/>
      <w:numFmt w:val="lowerRoman"/>
      <w:lvlText w:val="%2."/>
      <w:lvlJc w:val="left"/>
      <w:pPr>
        <w:tabs>
          <w:tab w:val="num" w:pos="0"/>
        </w:tabs>
        <w:ind w:left="1673" w:hanging="476"/>
      </w:pPr>
      <w:rPr>
        <w:sz w:val="22"/>
        <w:spacing w:val="-3"/>
        <w:szCs w:val="22"/>
        <w:w w:val="100"/>
        <w:rFonts w:ascii="Calibri" w:hAnsi="Calibri" w:eastAsia="Calibri" w:cs="Calibri"/>
        <w:lang w:val="it-IT" w:eastAsia="it-IT" w:bidi="it-IT"/>
      </w:rPr>
    </w:lvl>
    <w:lvl w:ilvl="2">
      <w:start w:val="0"/>
      <w:numFmt w:val="bullet"/>
      <w:lvlText w:val=""/>
      <w:lvlJc w:val="left"/>
      <w:pPr>
        <w:tabs>
          <w:tab w:val="num" w:pos="0"/>
        </w:tabs>
        <w:ind w:left="2631" w:hanging="476"/>
      </w:pPr>
      <w:rPr>
        <w:rFonts w:ascii="Symbol" w:hAnsi="Symbol" w:cs="Symbol" w:hint="default"/>
        <w:lang w:val="it-IT" w:eastAsia="it-IT" w:bidi="it-IT"/>
      </w:rPr>
    </w:lvl>
    <w:lvl w:ilvl="3">
      <w:start w:val="0"/>
      <w:numFmt w:val="bullet"/>
      <w:lvlText w:val=""/>
      <w:lvlJc w:val="left"/>
      <w:pPr>
        <w:tabs>
          <w:tab w:val="num" w:pos="0"/>
        </w:tabs>
        <w:ind w:left="3583" w:hanging="476"/>
      </w:pPr>
      <w:rPr>
        <w:rFonts w:ascii="Symbol" w:hAnsi="Symbol" w:cs="Symbol" w:hint="default"/>
        <w:lang w:val="it-IT" w:eastAsia="it-IT" w:bidi="it-IT"/>
      </w:rPr>
    </w:lvl>
    <w:lvl w:ilvl="4">
      <w:start w:val="0"/>
      <w:numFmt w:val="bullet"/>
      <w:lvlText w:val=""/>
      <w:lvlJc w:val="left"/>
      <w:pPr>
        <w:tabs>
          <w:tab w:val="num" w:pos="0"/>
        </w:tabs>
        <w:ind w:left="4535" w:hanging="476"/>
      </w:pPr>
      <w:rPr>
        <w:rFonts w:ascii="Symbol" w:hAnsi="Symbol" w:cs="Symbol" w:hint="default"/>
        <w:lang w:val="it-IT" w:eastAsia="it-IT" w:bidi="it-IT"/>
      </w:rPr>
    </w:lvl>
    <w:lvl w:ilvl="5">
      <w:start w:val="0"/>
      <w:numFmt w:val="bullet"/>
      <w:lvlText w:val=""/>
      <w:lvlJc w:val="left"/>
      <w:pPr>
        <w:tabs>
          <w:tab w:val="num" w:pos="0"/>
        </w:tabs>
        <w:ind w:left="5487" w:hanging="476"/>
      </w:pPr>
      <w:rPr>
        <w:rFonts w:ascii="Symbol" w:hAnsi="Symbol" w:cs="Symbol" w:hint="default"/>
        <w:lang w:val="it-IT" w:eastAsia="it-IT" w:bidi="it-IT"/>
      </w:rPr>
    </w:lvl>
    <w:lvl w:ilvl="6">
      <w:start w:val="0"/>
      <w:numFmt w:val="bullet"/>
      <w:lvlText w:val=""/>
      <w:lvlJc w:val="left"/>
      <w:pPr>
        <w:tabs>
          <w:tab w:val="num" w:pos="0"/>
        </w:tabs>
        <w:ind w:left="6439" w:hanging="476"/>
      </w:pPr>
      <w:rPr>
        <w:rFonts w:ascii="Symbol" w:hAnsi="Symbol" w:cs="Symbol" w:hint="default"/>
        <w:lang w:val="it-IT" w:eastAsia="it-IT" w:bidi="it-IT"/>
      </w:rPr>
    </w:lvl>
    <w:lvl w:ilvl="7">
      <w:start w:val="0"/>
      <w:numFmt w:val="bullet"/>
      <w:lvlText w:val=""/>
      <w:lvlJc w:val="left"/>
      <w:pPr>
        <w:tabs>
          <w:tab w:val="num" w:pos="0"/>
        </w:tabs>
        <w:ind w:left="7390" w:hanging="476"/>
      </w:pPr>
      <w:rPr>
        <w:rFonts w:ascii="Symbol" w:hAnsi="Symbol" w:cs="Symbol" w:hint="default"/>
        <w:lang w:val="it-IT" w:eastAsia="it-IT" w:bidi="it-IT"/>
      </w:rPr>
    </w:lvl>
    <w:lvl w:ilvl="8">
      <w:start w:val="0"/>
      <w:numFmt w:val="bullet"/>
      <w:lvlText w:val=""/>
      <w:lvlJc w:val="left"/>
      <w:pPr>
        <w:tabs>
          <w:tab w:val="num" w:pos="0"/>
        </w:tabs>
        <w:ind w:left="8342" w:hanging="476"/>
      </w:pPr>
      <w:rPr>
        <w:rFonts w:ascii="Symbol" w:hAnsi="Symbol" w:cs="Symbol" w:hint="default"/>
        <w:lang w:val="it-IT" w:eastAsia="it-IT" w:bidi="it-IT"/>
      </w:rPr>
    </w:lvl>
  </w:abstractNum>
  <w:abstractNum w:abstractNumId="24">
    <w:lvl w:ilvl="0">
      <w:start w:val="1"/>
      <w:numFmt w:val="decimal"/>
      <w:lvlText w:val="%1"/>
      <w:lvlJc w:val="left"/>
      <w:pPr>
        <w:tabs>
          <w:tab w:val="num" w:pos="0"/>
        </w:tabs>
        <w:ind w:left="660" w:hanging="660"/>
      </w:pPr>
      <w:rPr/>
    </w:lvl>
    <w:lvl w:ilvl="1">
      <w:start w:val="1"/>
      <w:numFmt w:val="decimal"/>
      <w:lvlText w:val="%1.%2"/>
      <w:lvlJc w:val="left"/>
      <w:pPr>
        <w:tabs>
          <w:tab w:val="num" w:pos="0"/>
        </w:tabs>
        <w:ind w:left="1020" w:hanging="660"/>
      </w:pPr>
      <w:rPr/>
    </w:lvl>
    <w:lvl w:ilvl="2">
      <w:start w:val="1"/>
      <w:numFmt w:val="lowerLetter"/>
      <w:lvlText w:val="%3)"/>
      <w:lvlJc w:val="left"/>
      <w:pPr>
        <w:tabs>
          <w:tab w:val="num" w:pos="0"/>
        </w:tabs>
        <w:ind w:left="1440" w:hanging="720"/>
      </w:pPr>
      <w:rPr>
        <w:b/>
      </w:rPr>
    </w:lvl>
    <w:lvl w:ilvl="3">
      <w:start w:val="2"/>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25">
    <w:lvl w:ilvl="0">
      <w:start w:val="1"/>
      <w:numFmt w:val="decimal"/>
      <w:lvlText w:val="%1."/>
      <w:lvlJc w:val="left"/>
      <w:pPr>
        <w:tabs>
          <w:tab w:val="num" w:pos="0"/>
        </w:tabs>
        <w:ind w:left="593" w:hanging="361"/>
      </w:pPr>
      <w:rPr>
        <w:sz w:val="22"/>
        <w:spacing w:val="-3"/>
        <w:b/>
        <w:szCs w:val="22"/>
        <w:w w:val="100"/>
        <w:rFonts w:ascii="Calibri" w:hAnsi="Calibri" w:eastAsia="Calibri" w:cs="Calibri"/>
        <w:lang w:val="it-IT" w:eastAsia="it-IT" w:bidi="it-IT"/>
      </w:rPr>
    </w:lvl>
    <w:lvl w:ilvl="1">
      <w:start w:val="0"/>
      <w:numFmt w:val="bullet"/>
      <w:lvlText w:val="-"/>
      <w:lvlJc w:val="left"/>
      <w:pPr>
        <w:tabs>
          <w:tab w:val="num" w:pos="0"/>
        </w:tabs>
        <w:ind w:left="953" w:hanging="360"/>
      </w:pPr>
      <w:rPr>
        <w:rFonts w:ascii="Cambria" w:hAnsi="Cambria" w:cs="Cambria" w:hint="default"/>
        <w:sz w:val="24"/>
        <w:spacing w:val="-3"/>
        <w:szCs w:val="24"/>
        <w:w w:val="100"/>
        <w:lang w:val="it-IT" w:eastAsia="it-IT" w:bidi="it-IT"/>
      </w:rPr>
    </w:lvl>
    <w:lvl w:ilvl="2">
      <w:start w:val="0"/>
      <w:numFmt w:val="bullet"/>
      <w:lvlText w:val=""/>
      <w:lvlJc w:val="left"/>
      <w:pPr>
        <w:tabs>
          <w:tab w:val="num" w:pos="0"/>
        </w:tabs>
        <w:ind w:left="1991" w:hanging="360"/>
      </w:pPr>
      <w:rPr>
        <w:rFonts w:ascii="Symbol" w:hAnsi="Symbol" w:cs="Symbol" w:hint="default"/>
        <w:lang w:val="it-IT" w:eastAsia="it-IT" w:bidi="it-IT"/>
      </w:rPr>
    </w:lvl>
    <w:lvl w:ilvl="3">
      <w:start w:val="0"/>
      <w:numFmt w:val="bullet"/>
      <w:lvlText w:val=""/>
      <w:lvlJc w:val="left"/>
      <w:pPr>
        <w:tabs>
          <w:tab w:val="num" w:pos="0"/>
        </w:tabs>
        <w:ind w:left="3023" w:hanging="360"/>
      </w:pPr>
      <w:rPr>
        <w:rFonts w:ascii="Symbol" w:hAnsi="Symbol" w:cs="Symbol" w:hint="default"/>
        <w:lang w:val="it-IT" w:eastAsia="it-IT" w:bidi="it-IT"/>
      </w:rPr>
    </w:lvl>
    <w:lvl w:ilvl="4">
      <w:start w:val="0"/>
      <w:numFmt w:val="bullet"/>
      <w:lvlText w:val=""/>
      <w:lvlJc w:val="left"/>
      <w:pPr>
        <w:tabs>
          <w:tab w:val="num" w:pos="0"/>
        </w:tabs>
        <w:ind w:left="4055" w:hanging="360"/>
      </w:pPr>
      <w:rPr>
        <w:rFonts w:ascii="Symbol" w:hAnsi="Symbol" w:cs="Symbol" w:hint="default"/>
        <w:lang w:val="it-IT" w:eastAsia="it-IT" w:bidi="it-IT"/>
      </w:rPr>
    </w:lvl>
    <w:lvl w:ilvl="5">
      <w:start w:val="0"/>
      <w:numFmt w:val="bullet"/>
      <w:lvlText w:val=""/>
      <w:lvlJc w:val="left"/>
      <w:pPr>
        <w:tabs>
          <w:tab w:val="num" w:pos="0"/>
        </w:tabs>
        <w:ind w:left="5087" w:hanging="360"/>
      </w:pPr>
      <w:rPr>
        <w:rFonts w:ascii="Symbol" w:hAnsi="Symbol" w:cs="Symbol" w:hint="default"/>
        <w:lang w:val="it-IT" w:eastAsia="it-IT" w:bidi="it-IT"/>
      </w:rPr>
    </w:lvl>
    <w:lvl w:ilvl="6">
      <w:start w:val="0"/>
      <w:numFmt w:val="bullet"/>
      <w:lvlText w:val=""/>
      <w:lvlJc w:val="left"/>
      <w:pPr>
        <w:tabs>
          <w:tab w:val="num" w:pos="0"/>
        </w:tabs>
        <w:ind w:left="6119" w:hanging="360"/>
      </w:pPr>
      <w:rPr>
        <w:rFonts w:ascii="Symbol" w:hAnsi="Symbol" w:cs="Symbol" w:hint="default"/>
        <w:lang w:val="it-IT" w:eastAsia="it-IT" w:bidi="it-IT"/>
      </w:rPr>
    </w:lvl>
    <w:lvl w:ilvl="7">
      <w:start w:val="0"/>
      <w:numFmt w:val="bullet"/>
      <w:lvlText w:val=""/>
      <w:lvlJc w:val="left"/>
      <w:pPr>
        <w:tabs>
          <w:tab w:val="num" w:pos="0"/>
        </w:tabs>
        <w:ind w:left="7150" w:hanging="360"/>
      </w:pPr>
      <w:rPr>
        <w:rFonts w:ascii="Symbol" w:hAnsi="Symbol" w:cs="Symbol" w:hint="default"/>
        <w:lang w:val="it-IT" w:eastAsia="it-IT" w:bidi="it-IT"/>
      </w:rPr>
    </w:lvl>
    <w:lvl w:ilvl="8">
      <w:start w:val="0"/>
      <w:numFmt w:val="bullet"/>
      <w:lvlText w:val=""/>
      <w:lvlJc w:val="left"/>
      <w:pPr>
        <w:tabs>
          <w:tab w:val="num" w:pos="0"/>
        </w:tabs>
        <w:ind w:left="8182" w:hanging="360"/>
      </w:pPr>
      <w:rPr>
        <w:rFonts w:ascii="Symbol" w:hAnsi="Symbol" w:cs="Symbol" w:hint="default"/>
        <w:lang w:val="it-IT" w:eastAsia="it-IT" w:bidi="it-IT"/>
      </w:rPr>
    </w:lvl>
  </w:abstractNum>
  <w:abstractNum w:abstractNumId="26">
    <w:lvl w:ilvl="0">
      <w:start w:val="1"/>
      <w:numFmt w:val="decimal"/>
      <w:lvlText w:val="%1"/>
      <w:lvlJc w:val="left"/>
      <w:pPr>
        <w:tabs>
          <w:tab w:val="num" w:pos="0"/>
        </w:tabs>
        <w:ind w:left="660" w:hanging="660"/>
      </w:pPr>
      <w:rPr/>
    </w:lvl>
    <w:lvl w:ilvl="1">
      <w:start w:val="1"/>
      <w:numFmt w:val="decimal"/>
      <w:lvlText w:val="%1.%2"/>
      <w:lvlJc w:val="left"/>
      <w:pPr>
        <w:tabs>
          <w:tab w:val="num" w:pos="0"/>
        </w:tabs>
        <w:ind w:left="1020" w:hanging="660"/>
      </w:pPr>
      <w:rPr/>
    </w:lvl>
    <w:lvl w:ilvl="2">
      <w:start w:val="1"/>
      <w:numFmt w:val="lowerLetter"/>
      <w:lvlText w:val="%3)"/>
      <w:lvlJc w:val="left"/>
      <w:pPr>
        <w:tabs>
          <w:tab w:val="num" w:pos="0"/>
        </w:tabs>
        <w:ind w:left="1440" w:hanging="720"/>
      </w:pPr>
      <w:rPr>
        <w:b/>
      </w:rPr>
    </w:lvl>
    <w:lvl w:ilvl="3">
      <w:start w:val="2"/>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27">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102f6c"/>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it-IT" w:eastAsia="it-IT" w:bidi="it-IT"/>
    </w:rPr>
  </w:style>
  <w:style w:type="paragraph" w:styleId="Titolo1">
    <w:name w:val="Heading 1"/>
    <w:basedOn w:val="Normal"/>
    <w:uiPriority w:val="1"/>
    <w:qFormat/>
    <w:rsid w:val="00102f6c"/>
    <w:pPr>
      <w:ind w:left="2485" w:right="2626" w:hanging="0"/>
      <w:jc w:val="center"/>
      <w:outlineLvl w:val="0"/>
    </w:pPr>
    <w:rPr>
      <w:b/>
      <w:bCs/>
      <w:sz w:val="32"/>
      <w:szCs w:val="32"/>
    </w:rPr>
  </w:style>
  <w:style w:type="paragraph" w:styleId="Titolo2">
    <w:name w:val="Heading 2"/>
    <w:basedOn w:val="Normal"/>
    <w:uiPriority w:val="1"/>
    <w:qFormat/>
    <w:rsid w:val="00102f6c"/>
    <w:pPr>
      <w:spacing w:before="35" w:after="0"/>
      <w:ind w:left="232" w:right="1575" w:hanging="0"/>
      <w:outlineLvl w:val="1"/>
    </w:pPr>
    <w:rPr>
      <w:rFonts w:ascii="Calibri Light" w:hAnsi="Calibri Light" w:eastAsia="Calibri Light" w:cs="Calibri Light"/>
      <w:sz w:val="32"/>
      <w:szCs w:val="32"/>
    </w:rPr>
  </w:style>
  <w:style w:type="paragraph" w:styleId="Titolo3">
    <w:name w:val="Heading 3"/>
    <w:basedOn w:val="Normal"/>
    <w:uiPriority w:val="1"/>
    <w:qFormat/>
    <w:rsid w:val="00102f6c"/>
    <w:pPr>
      <w:ind w:right="141" w:hanging="0"/>
      <w:jc w:val="center"/>
      <w:outlineLvl w:val="2"/>
    </w:pPr>
    <w:rPr>
      <w:b/>
      <w:bCs/>
      <w:sz w:val="28"/>
      <w:szCs w:val="28"/>
    </w:rPr>
  </w:style>
  <w:style w:type="paragraph" w:styleId="Titolo4">
    <w:name w:val="Heading 4"/>
    <w:basedOn w:val="Normal"/>
    <w:uiPriority w:val="1"/>
    <w:qFormat/>
    <w:rsid w:val="00102f6c"/>
    <w:pPr>
      <w:ind w:left="941" w:hanging="710"/>
      <w:outlineLvl w:val="3"/>
    </w:pPr>
    <w:rPr>
      <w:rFonts w:ascii="Calibri Light" w:hAnsi="Calibri Light" w:eastAsia="Calibri Light" w:cs="Calibri Light"/>
      <w:sz w:val="26"/>
      <w:szCs w:val="26"/>
    </w:rPr>
  </w:style>
  <w:style w:type="paragraph" w:styleId="Titolo5">
    <w:name w:val="Heading 5"/>
    <w:basedOn w:val="Normal"/>
    <w:uiPriority w:val="1"/>
    <w:qFormat/>
    <w:rsid w:val="00102f6c"/>
    <w:pPr>
      <w:ind w:left="2485" w:right="2380" w:hanging="0"/>
      <w:jc w:val="center"/>
      <w:outlineLvl w:val="4"/>
    </w:pPr>
    <w:rPr>
      <w:b/>
      <w:bCs/>
      <w:sz w:val="24"/>
      <w:szCs w:val="24"/>
    </w:rPr>
  </w:style>
  <w:style w:type="character" w:styleId="DefaultParagraphFont" w:default="1">
    <w:name w:val="Default Paragraph Font"/>
    <w:uiPriority w:val="1"/>
    <w:semiHidden/>
    <w:unhideWhenUsed/>
    <w:qFormat/>
    <w:rPr/>
  </w:style>
  <w:style w:type="character" w:styleId="Footnotemark" w:customStyle="1">
    <w:name w:val="footnote mark"/>
    <w:qFormat/>
    <w:rsid w:val="00417deb"/>
    <w:rPr>
      <w:rFonts w:ascii="Calibri" w:hAnsi="Calibri" w:eastAsia="Calibri" w:cs="Calibri"/>
      <w:color w:val="000000"/>
      <w:sz w:val="14"/>
      <w:vertAlign w:val="superscript"/>
    </w:rPr>
  </w:style>
  <w:style w:type="character" w:styleId="ParagrafoelencoCarattere" w:customStyle="1">
    <w:name w:val="Paragrafo elenco Carattere"/>
    <w:basedOn w:val="DefaultParagraphFont"/>
    <w:link w:val="ListParagraph"/>
    <w:uiPriority w:val="1"/>
    <w:qFormat/>
    <w:rsid w:val="007f7107"/>
    <w:rPr>
      <w:rFonts w:ascii="Calibri" w:hAnsi="Calibri" w:eastAsia="Calibri" w:cs="Calibri"/>
      <w:lang w:val="it-IT" w:eastAsia="it-IT" w:bidi="it-IT"/>
    </w:rPr>
  </w:style>
  <w:style w:type="character" w:styleId="Appleconvertedspace" w:customStyle="1">
    <w:name w:val="apple-converted-space"/>
    <w:basedOn w:val="DefaultParagraphFont"/>
    <w:qFormat/>
    <w:rsid w:val="00701d6a"/>
    <w:rPr/>
  </w:style>
  <w:style w:type="character" w:styleId="Strong">
    <w:name w:val="Strong"/>
    <w:basedOn w:val="DefaultParagraphFont"/>
    <w:uiPriority w:val="22"/>
    <w:qFormat/>
    <w:rsid w:val="00701d6a"/>
    <w:rPr>
      <w:b/>
      <w:bCs/>
    </w:rPr>
  </w:style>
  <w:style w:type="character" w:styleId="IntestazioneCarattere" w:customStyle="1">
    <w:name w:val="Intestazione Carattere"/>
    <w:basedOn w:val="DefaultParagraphFont"/>
    <w:uiPriority w:val="99"/>
    <w:qFormat/>
    <w:rsid w:val="00ac47e1"/>
    <w:rPr>
      <w:rFonts w:ascii="Calibri" w:hAnsi="Calibri" w:eastAsia="Calibri" w:cs="Calibri"/>
      <w:lang w:val="it-IT" w:eastAsia="it-IT" w:bidi="it-IT"/>
    </w:rPr>
  </w:style>
  <w:style w:type="character" w:styleId="PidipaginaCarattere" w:customStyle="1">
    <w:name w:val="Piè di pagina Carattere"/>
    <w:basedOn w:val="DefaultParagraphFont"/>
    <w:uiPriority w:val="99"/>
    <w:qFormat/>
    <w:rsid w:val="00ac47e1"/>
    <w:rPr>
      <w:rFonts w:ascii="Calibri" w:hAnsi="Calibri" w:eastAsia="Calibri" w:cs="Calibri"/>
      <w:lang w:val="it-IT" w:eastAsia="it-IT" w:bidi="it-IT"/>
    </w:rPr>
  </w:style>
  <w:style w:type="character" w:styleId="TestofumettoCarattere" w:customStyle="1">
    <w:name w:val="Testo fumetto Carattere"/>
    <w:basedOn w:val="DefaultParagraphFont"/>
    <w:link w:val="BalloonText"/>
    <w:uiPriority w:val="99"/>
    <w:semiHidden/>
    <w:qFormat/>
    <w:rsid w:val="008f2924"/>
    <w:rPr>
      <w:rFonts w:ascii="Tahoma" w:hAnsi="Tahoma" w:eastAsia="Calibri" w:cs="Tahoma"/>
      <w:sz w:val="16"/>
      <w:szCs w:val="16"/>
      <w:lang w:val="it-IT" w:eastAsia="it-IT" w:bidi="it-IT"/>
    </w:rPr>
  </w:style>
  <w:style w:type="character" w:styleId="MappadocumentoCarattere" w:customStyle="1">
    <w:name w:val="Mappa documento Carattere"/>
    <w:basedOn w:val="DefaultParagraphFont"/>
    <w:link w:val="DocumentMap"/>
    <w:uiPriority w:val="99"/>
    <w:semiHidden/>
    <w:qFormat/>
    <w:rsid w:val="00a7697c"/>
    <w:rPr>
      <w:rFonts w:ascii="Times New Roman" w:hAnsi="Times New Roman" w:eastAsia="Calibri" w:cs="Times New Roman"/>
      <w:sz w:val="24"/>
      <w:szCs w:val="24"/>
      <w:lang w:val="it-IT" w:eastAsia="it-IT" w:bidi="it-IT"/>
    </w:rPr>
  </w:style>
  <w:style w:type="character" w:styleId="Annotationreference">
    <w:name w:val="annotation reference"/>
    <w:basedOn w:val="DefaultParagraphFont"/>
    <w:uiPriority w:val="99"/>
    <w:semiHidden/>
    <w:unhideWhenUsed/>
    <w:qFormat/>
    <w:rsid w:val="00a7697c"/>
    <w:rPr>
      <w:sz w:val="18"/>
      <w:szCs w:val="18"/>
    </w:rPr>
  </w:style>
  <w:style w:type="character" w:styleId="TestocommentoCarattere" w:customStyle="1">
    <w:name w:val="Testo commento Carattere"/>
    <w:basedOn w:val="DefaultParagraphFont"/>
    <w:link w:val="Annotationtext"/>
    <w:uiPriority w:val="99"/>
    <w:semiHidden/>
    <w:qFormat/>
    <w:rsid w:val="00a7697c"/>
    <w:rPr>
      <w:rFonts w:ascii="Calibri" w:hAnsi="Calibri" w:eastAsia="Calibri" w:cs="Calibri"/>
      <w:sz w:val="24"/>
      <w:szCs w:val="24"/>
      <w:lang w:val="it-IT" w:eastAsia="it-IT" w:bidi="it-IT"/>
    </w:rPr>
  </w:style>
  <w:style w:type="character" w:styleId="SoggettocommentoCarattere" w:customStyle="1">
    <w:name w:val="Soggetto commento Carattere"/>
    <w:basedOn w:val="TestocommentoCarattere"/>
    <w:link w:val="Annotationsubject"/>
    <w:uiPriority w:val="99"/>
    <w:semiHidden/>
    <w:qFormat/>
    <w:rsid w:val="00a7697c"/>
    <w:rPr>
      <w:rFonts w:ascii="Calibri" w:hAnsi="Calibri" w:eastAsia="Calibri" w:cs="Calibri"/>
      <w:b/>
      <w:bCs/>
      <w:sz w:val="20"/>
      <w:szCs w:val="20"/>
      <w:lang w:val="it-IT" w:eastAsia="it-IT" w:bidi="it-IT"/>
    </w:rPr>
  </w:style>
  <w:style w:type="character" w:styleId="CorpotestoCarattere" w:customStyle="1">
    <w:name w:val="Corpo testo Carattere"/>
    <w:basedOn w:val="DefaultParagraphFont"/>
    <w:uiPriority w:val="1"/>
    <w:qFormat/>
    <w:rsid w:val="00102c70"/>
    <w:rPr>
      <w:rFonts w:ascii="Calibri" w:hAnsi="Calibri" w:eastAsia="Calibri" w:cs="Calibri"/>
      <w:sz w:val="24"/>
      <w:szCs w:val="24"/>
      <w:lang w:val="it-IT" w:eastAsia="it-IT" w:bidi="it-IT"/>
    </w:rPr>
  </w:style>
  <w:style w:type="character" w:styleId="CollegamentoInternet">
    <w:name w:val="Hyperlink"/>
    <w:basedOn w:val="DefaultParagraphFont"/>
    <w:uiPriority w:val="99"/>
    <w:unhideWhenUsed/>
    <w:rsid w:val="00ef441f"/>
    <w:rPr>
      <w:color w:val="0000FF" w:themeColor="hyperlink"/>
      <w:u w:val="single"/>
    </w:rPr>
  </w:style>
  <w:style w:type="character" w:styleId="Carpredefinitoparagrafo1" w:customStyle="1">
    <w:name w:val="Car. predefinito paragrafo1"/>
    <w:qFormat/>
    <w:rsid w:val="00da72af"/>
    <w:rPr/>
  </w:style>
  <w:style w:type="paragraph" w:styleId="Titolo">
    <w:name w:val="Titolo"/>
    <w:basedOn w:val="Normal"/>
    <w:next w:val="Corpodeltesto"/>
    <w:qFormat/>
    <w:pPr>
      <w:keepNext w:val="true"/>
      <w:spacing w:before="240" w:after="120"/>
    </w:pPr>
    <w:rPr>
      <w:rFonts w:ascii="Times New Roman" w:hAnsi="Times New Roman" w:eastAsia="Microsoft YaHei" w:cs="Lucida Sans"/>
      <w:sz w:val="28"/>
      <w:szCs w:val="28"/>
    </w:rPr>
  </w:style>
  <w:style w:type="paragraph" w:styleId="Corpodeltesto">
    <w:name w:val="Body Text"/>
    <w:basedOn w:val="Normal"/>
    <w:link w:val="CorpotestoCarattere"/>
    <w:uiPriority w:val="1"/>
    <w:qFormat/>
    <w:rsid w:val="00102f6c"/>
    <w:pPr/>
    <w:rPr>
      <w:sz w:val="24"/>
      <w:szCs w:val="24"/>
    </w:rPr>
  </w:style>
  <w:style w:type="paragraph" w:styleId="Elenco">
    <w:name w:val="List"/>
    <w:basedOn w:val="Corpodeltesto"/>
    <w:rsid w:val="00102f6c"/>
    <w:pPr/>
    <w:rPr>
      <w:rFonts w:cs="Arial"/>
    </w:rPr>
  </w:style>
  <w:style w:type="paragraph" w:styleId="Didascalia">
    <w:name w:val="Caption"/>
    <w:basedOn w:val="Normal"/>
    <w:qFormat/>
    <w:pPr>
      <w:suppressLineNumbers/>
      <w:spacing w:before="120" w:after="120"/>
    </w:pPr>
    <w:rPr>
      <w:rFonts w:ascii="Times New Roman" w:hAnsi="Times New Roman" w:cs="Lucida Sans"/>
      <w:i/>
      <w:iCs/>
      <w:sz w:val="24"/>
      <w:szCs w:val="24"/>
    </w:rPr>
  </w:style>
  <w:style w:type="paragraph" w:styleId="Indice" w:customStyle="1">
    <w:name w:val="Indice"/>
    <w:basedOn w:val="Normal"/>
    <w:qFormat/>
    <w:rsid w:val="00102f6c"/>
    <w:pPr>
      <w:suppressLineNumbers/>
    </w:pPr>
    <w:rPr>
      <w:rFonts w:cs="Arial"/>
    </w:rPr>
  </w:style>
  <w:style w:type="paragraph" w:styleId="Titoloprincipale">
    <w:name w:val="Title"/>
    <w:basedOn w:val="Normal"/>
    <w:next w:val="Corpodeltesto"/>
    <w:qFormat/>
    <w:rsid w:val="00102f6c"/>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102f6c"/>
    <w:pPr>
      <w:suppressLineNumbers/>
      <w:spacing w:before="120" w:after="120"/>
    </w:pPr>
    <w:rPr>
      <w:rFonts w:cs="Arial"/>
      <w:i/>
      <w:iCs/>
      <w:sz w:val="24"/>
      <w:szCs w:val="24"/>
    </w:rPr>
  </w:style>
  <w:style w:type="paragraph" w:styleId="Indice1">
    <w:name w:val="TOC 1"/>
    <w:basedOn w:val="Normal"/>
    <w:uiPriority w:val="1"/>
    <w:qFormat/>
    <w:rsid w:val="00102f6c"/>
    <w:pPr>
      <w:spacing w:before="22" w:after="0"/>
      <w:ind w:left="893" w:right="379" w:hanging="894"/>
      <w:jc w:val="right"/>
    </w:pPr>
    <w:rPr>
      <w:b/>
      <w:bCs/>
    </w:rPr>
  </w:style>
  <w:style w:type="paragraph" w:styleId="Indice2">
    <w:name w:val="TOC 2"/>
    <w:basedOn w:val="Normal"/>
    <w:uiPriority w:val="1"/>
    <w:qFormat/>
    <w:rsid w:val="00102f6c"/>
    <w:pPr>
      <w:spacing w:before="22" w:after="0"/>
      <w:ind w:left="1332" w:right="378" w:hanging="1333"/>
      <w:jc w:val="right"/>
    </w:pPr>
    <w:rPr/>
  </w:style>
  <w:style w:type="paragraph" w:styleId="Indice3">
    <w:name w:val="TOC 3"/>
    <w:basedOn w:val="Normal"/>
    <w:uiPriority w:val="1"/>
    <w:qFormat/>
    <w:rsid w:val="00102f6c"/>
    <w:pPr>
      <w:spacing w:before="117" w:after="0"/>
      <w:ind w:left="232" w:right="381" w:hanging="0"/>
    </w:pPr>
    <w:rPr>
      <w:b/>
      <w:bCs/>
      <w:sz w:val="24"/>
      <w:szCs w:val="24"/>
    </w:rPr>
  </w:style>
  <w:style w:type="paragraph" w:styleId="ListParagraph">
    <w:name w:val="List Paragraph"/>
    <w:basedOn w:val="Normal"/>
    <w:link w:val="ParagrafoelencoCarattere"/>
    <w:uiPriority w:val="1"/>
    <w:qFormat/>
    <w:rsid w:val="00102f6c"/>
    <w:pPr>
      <w:ind w:left="593" w:hanging="361"/>
      <w:jc w:val="both"/>
    </w:pPr>
    <w:rPr/>
  </w:style>
  <w:style w:type="paragraph" w:styleId="TableParagraph" w:customStyle="1">
    <w:name w:val="Table Paragraph"/>
    <w:basedOn w:val="Normal"/>
    <w:uiPriority w:val="1"/>
    <w:qFormat/>
    <w:rsid w:val="00102f6c"/>
    <w:pPr/>
    <w:rPr/>
  </w:style>
  <w:style w:type="paragraph" w:styleId="Intestazioneepidipagina" w:customStyle="1">
    <w:name w:val="Intestazione e piè di pagina"/>
    <w:basedOn w:val="Normal"/>
    <w:qFormat/>
    <w:rsid w:val="00102f6c"/>
    <w:pPr/>
    <w:rPr/>
  </w:style>
  <w:style w:type="paragraph" w:styleId="Intestazione">
    <w:name w:val="Header"/>
    <w:basedOn w:val="Normal"/>
    <w:link w:val="IntestazioneCarattere"/>
    <w:unhideWhenUsed/>
    <w:rsid w:val="00ac47e1"/>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ac47e1"/>
    <w:pPr>
      <w:tabs>
        <w:tab w:val="clear" w:pos="720"/>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8f2924"/>
    <w:pPr/>
    <w:rPr>
      <w:rFonts w:ascii="Tahoma" w:hAnsi="Tahoma" w:cs="Tahoma"/>
      <w:sz w:val="16"/>
      <w:szCs w:val="16"/>
    </w:rPr>
  </w:style>
  <w:style w:type="paragraph" w:styleId="DocumentMap">
    <w:name w:val="Document Map"/>
    <w:basedOn w:val="Normal"/>
    <w:link w:val="MappadocumentoCarattere"/>
    <w:uiPriority w:val="99"/>
    <w:semiHidden/>
    <w:unhideWhenUsed/>
    <w:qFormat/>
    <w:rsid w:val="00a7697c"/>
    <w:pPr/>
    <w:rPr>
      <w:rFonts w:ascii="Times New Roman" w:hAnsi="Times New Roman" w:cs="Times New Roman"/>
      <w:sz w:val="24"/>
      <w:szCs w:val="24"/>
    </w:rPr>
  </w:style>
  <w:style w:type="paragraph" w:styleId="Revision">
    <w:name w:val="Revision"/>
    <w:uiPriority w:val="99"/>
    <w:semiHidden/>
    <w:qFormat/>
    <w:rsid w:val="00a7697c"/>
    <w:pPr>
      <w:widowControl/>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it-IT" w:eastAsia="it-IT" w:bidi="it-IT"/>
    </w:rPr>
  </w:style>
  <w:style w:type="paragraph" w:styleId="Annotationtext">
    <w:name w:val="annotation text"/>
    <w:basedOn w:val="Normal"/>
    <w:link w:val="TestocommentoCarattere"/>
    <w:uiPriority w:val="99"/>
    <w:semiHidden/>
    <w:unhideWhenUsed/>
    <w:qFormat/>
    <w:rsid w:val="00a7697c"/>
    <w:pPr/>
    <w:rPr>
      <w:sz w:val="24"/>
      <w:szCs w:val="24"/>
    </w:rPr>
  </w:style>
  <w:style w:type="paragraph" w:styleId="Annotationsubject">
    <w:name w:val="annotation subject"/>
    <w:basedOn w:val="Annotationtext"/>
    <w:next w:val="Annotationtext"/>
    <w:link w:val="SoggettocommentoCarattere"/>
    <w:uiPriority w:val="99"/>
    <w:semiHidden/>
    <w:unhideWhenUsed/>
    <w:qFormat/>
    <w:rsid w:val="00a7697c"/>
    <w:pPr/>
    <w:rPr>
      <w:b/>
      <w:bCs/>
      <w:sz w:val="20"/>
      <w:szCs w:val="20"/>
    </w:rPr>
  </w:style>
  <w:style w:type="paragraph" w:styleId="Default" w:customStyle="1">
    <w:name w:val="Default"/>
    <w:qFormat/>
    <w:rsid w:val="002f4873"/>
    <w:pPr>
      <w:widowControl/>
      <w:suppressAutoHyphens w:val="true"/>
      <w:bidi w:val="0"/>
      <w:spacing w:before="0" w:after="0"/>
      <w:jc w:val="left"/>
    </w:pPr>
    <w:rPr>
      <w:rFonts w:ascii="Calibri" w:hAnsi="Calibri" w:eastAsia="Calibri" w:cs="Calibri"/>
      <w:color w:val="000000"/>
      <w:kern w:val="0"/>
      <w:sz w:val="24"/>
      <w:szCs w:val="24"/>
      <w:lang w:val="it-IT" w:eastAsia="en-US" w:bidi="ar-SA"/>
    </w:rPr>
  </w:style>
  <w:style w:type="paragraph" w:styleId="Western" w:customStyle="1">
    <w:name w:val="western"/>
    <w:basedOn w:val="Normal"/>
    <w:qFormat/>
    <w:rsid w:val="009a394c"/>
    <w:pPr>
      <w:widowControl/>
      <w:spacing w:beforeAutospacing="1" w:after="119"/>
    </w:pPr>
    <w:rPr>
      <w:rFonts w:ascii="Cambria" w:hAnsi="Cambria" w:eastAsia="Times New Roman" w:cs="Times New Roman"/>
      <w:color w:val="00000A"/>
      <w:lang w:bidi="ar-SA"/>
    </w:rPr>
  </w:style>
  <w:style w:type="paragraph" w:styleId="NormalWeb">
    <w:name w:val="Normal (Web)"/>
    <w:basedOn w:val="Normal"/>
    <w:uiPriority w:val="99"/>
    <w:semiHidden/>
    <w:unhideWhenUsed/>
    <w:qFormat/>
    <w:rsid w:val="001c02f0"/>
    <w:pPr>
      <w:widowControl/>
      <w:spacing w:beforeAutospacing="1" w:after="119"/>
    </w:pPr>
    <w:rPr>
      <w:rFonts w:ascii="Times New Roman" w:hAnsi="Times New Roman" w:eastAsia="Times New Roman" w:cs="Times New Roman"/>
      <w:color w:val="00000A"/>
      <w:sz w:val="24"/>
      <w:szCs w:val="24"/>
      <w:lang w:bidi="ar-SA"/>
    </w:rPr>
  </w:style>
  <w:style w:type="paragraph" w:styleId="Contenutocornice" w:customStyle="1">
    <w:name w:val="Contenuto cornice"/>
    <w:basedOn w:val="Normal"/>
    <w:qFormat/>
    <w:rsid w:val="00102f6c"/>
    <w:pPr/>
    <w:rPr/>
  </w:style>
  <w:style w:type="paragraph" w:styleId="Contenutotabella" w:customStyle="1">
    <w:name w:val="Contenuto tabella"/>
    <w:basedOn w:val="Normal"/>
    <w:qFormat/>
    <w:rsid w:val="00102f6c"/>
    <w:pPr>
      <w:suppressLineNumbers/>
    </w:pPr>
    <w:rPr/>
  </w:style>
  <w:style w:type="paragraph" w:styleId="Titolotabella" w:customStyle="1">
    <w:name w:val="Titolo tabella"/>
    <w:basedOn w:val="Contenutotabella"/>
    <w:qFormat/>
    <w:rsid w:val="00102f6c"/>
    <w:pPr>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102f6c"/>
    <w:tblPr>
      <w:tblCellMar>
        <w:top w:w="0" w:type="dxa"/>
        <w:left w:w="0" w:type="dxa"/>
        <w:bottom w:w="0" w:type="dxa"/>
        <w:right w:w="0" w:type="dxa"/>
      </w:tblCellMar>
    </w:tblPr>
  </w:style>
  <w:style w:type="table" w:styleId="Grigliatabella">
    <w:name w:val="Table Grid"/>
    <w:basedOn w:val="Tabellanormale"/>
    <w:uiPriority w:val="39"/>
    <w:rsid w:val="005666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LibreOffice/7.4.1.2$Windows_X86_64 LibreOffice_project/3c58a8f3a960df8bc8fd77b461821e42c061c5f0</Application>
  <AppVersion>15.0000</AppVersion>
  <Pages>16</Pages>
  <Words>6241</Words>
  <Characters>38866</Characters>
  <CharactersWithSpaces>44660</CharactersWithSpaces>
  <Paragraphs>363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2023-02-10T10:39:00Z</dcterms:created>
  <dc:creator>Vincenzo Veneziano</dc:creator>
  <dc:description/>
  <dc:language>it-IT</dc:language>
  <cp:lastModifiedBy>Giuseppe Bonaccorso</cp:lastModifiedBy>
  <cp:lastPrinted>2020-12-28T08:52:00Z</cp:lastPrinted>
  <dcterms:modified xsi:type="dcterms:W3CDTF">2023-02-10T10:45:00Z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2019-04-02T00:00:00Z</vt:filetime>
  </property>
  <property fmtid="{D5CDD505-2E9C-101B-9397-08002B2CF9AE}" pid="3" name="Creator">
    <vt:lpwstr>Microsoft® Word 2010</vt:lpwstr>
  </property>
  <property fmtid="{D5CDD505-2E9C-101B-9397-08002B2CF9AE}" pid="4" name="LastSaved">
    <vt:filetime>2019-09-10T00:00:00Z</vt:filetime>
  </property>
</Properties>
</file>